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4334" w14:textId="77777777" w:rsidR="00D73103" w:rsidRDefault="00D73103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0246C5" w14:textId="1DF2591E" w:rsidR="00165F1D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73103">
        <w:rPr>
          <w:rFonts w:ascii="Arial" w:hAnsi="Arial" w:cs="Arial"/>
          <w:b/>
          <w:color w:val="0070C0"/>
          <w:sz w:val="22"/>
          <w:szCs w:val="22"/>
        </w:rPr>
        <w:t>3</w:t>
      </w:r>
      <w:r w:rsidR="00A1750F">
        <w:rPr>
          <w:rFonts w:ascii="Arial" w:hAnsi="Arial" w:cs="Arial"/>
          <w:b/>
          <w:color w:val="0070C0"/>
          <w:sz w:val="22"/>
          <w:szCs w:val="22"/>
        </w:rPr>
        <w:t>9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060A0F86" w:rsidR="00160BB4" w:rsidRPr="008727BC" w:rsidRDefault="00160BB4" w:rsidP="00165F1D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11545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370E62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17D3F" w:rsidRDefault="004F4D42" w:rsidP="004F4D4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9FE715B" w14:textId="0FC99801" w:rsidR="004F4D42" w:rsidRPr="00617D3F" w:rsidRDefault="004F4D42" w:rsidP="004F4D42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E3F981C" w14:textId="77777777" w:rsidR="00F115B2" w:rsidRDefault="00F115B2" w:rsidP="00F115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6BBFC74D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74DBE66" w14:textId="77777777" w:rsidR="00F115B2" w:rsidRPr="008727BC" w:rsidRDefault="00F115B2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7B83BB5C" w14:textId="176A6781" w:rsidR="0083298E" w:rsidRDefault="007C3957" w:rsidP="0083298E">
      <w:pPr>
        <w:pStyle w:val="Tekstpodstawowy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Pr="00A9048C">
        <w:rPr>
          <w:rFonts w:ascii="Arial" w:hAnsi="Arial" w:cs="Arial"/>
          <w:color w:val="000000" w:themeColor="text1"/>
          <w:sz w:val="22"/>
          <w:szCs w:val="22"/>
        </w:rPr>
        <w:t xml:space="preserve">publicznego pod nazwą: </w:t>
      </w:r>
      <w:bookmarkEnd w:id="0"/>
      <w:r w:rsidR="00FD349C">
        <w:rPr>
          <w:rFonts w:ascii="Arial" w:hAnsi="Arial" w:cs="Arial"/>
          <w:color w:val="000000" w:themeColor="text1"/>
          <w:sz w:val="22"/>
          <w:szCs w:val="22"/>
        </w:rPr>
        <w:t>„</w:t>
      </w:r>
      <w:r w:rsidR="00A1750F" w:rsidRPr="00A1750F">
        <w:rPr>
          <w:rFonts w:ascii="Arial" w:hAnsi="Arial" w:cs="Arial"/>
          <w:b/>
          <w:bCs/>
          <w:color w:val="000000" w:themeColor="text1"/>
          <w:sz w:val="22"/>
          <w:szCs w:val="22"/>
        </w:rPr>
        <w:t>Konserwacja cieków na terenie działania Zarządu Zlewni w Tczewie</w:t>
      </w:r>
      <w:r w:rsidR="00FD349C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63FD204F" w14:textId="77777777" w:rsidR="00D73103" w:rsidRPr="0083298E" w:rsidRDefault="00D73103" w:rsidP="0083298E">
      <w:pPr>
        <w:pStyle w:val="Tekstpodstawowy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364B86">
      <w:headerReference w:type="default" r:id="rId8"/>
      <w:footerReference w:type="default" r:id="rId9"/>
      <w:pgSz w:w="11910" w:h="16840"/>
      <w:pgMar w:top="567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>, zgodnie z art. 118 ust. 3 ustawy Pzp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5F1D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E6D01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4B86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C527B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298E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A7DEC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50F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3103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15B2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349C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115</cp:revision>
  <cp:lastPrinted>2021-02-22T07:55:00Z</cp:lastPrinted>
  <dcterms:created xsi:type="dcterms:W3CDTF">2021-02-23T08:38:00Z</dcterms:created>
  <dcterms:modified xsi:type="dcterms:W3CDTF">2022-08-05T11:15:00Z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