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D1A7" w14:textId="71154665" w:rsidR="00BA0A52" w:rsidRDefault="00BA0A52" w:rsidP="00BA0A52">
      <w:pPr>
        <w:jc w:val="right"/>
        <w:rPr>
          <w:rFonts w:eastAsiaTheme="minorHAnsi" w:cs="Calibri"/>
        </w:rPr>
      </w:pPr>
      <w:r>
        <w:rPr>
          <w:rFonts w:eastAsiaTheme="minorHAnsi" w:cs="Calibri"/>
        </w:rPr>
        <w:t>Załącznik nr 5 do zapytania ofertowego</w:t>
      </w:r>
    </w:p>
    <w:p w14:paraId="59039C74" w14:textId="77777777" w:rsidR="00BA0A52" w:rsidRDefault="00BA0A52" w:rsidP="00BA0A52">
      <w:pPr>
        <w:jc w:val="center"/>
        <w:rPr>
          <w:rFonts w:eastAsiaTheme="minorHAnsi" w:cs="Calibri"/>
        </w:rPr>
      </w:pPr>
    </w:p>
    <w:p w14:paraId="495421EA" w14:textId="583A8B6C" w:rsidR="00BA0A52" w:rsidRPr="00BA0A52" w:rsidRDefault="00BA0A52" w:rsidP="00BA0A52">
      <w:pPr>
        <w:jc w:val="center"/>
        <w:rPr>
          <w:rFonts w:eastAsiaTheme="minorHAnsi" w:cs="Calibri"/>
        </w:rPr>
      </w:pPr>
      <w:r w:rsidRPr="00BA0A52">
        <w:rPr>
          <w:rFonts w:eastAsiaTheme="minorHAnsi" w:cs="Calibri"/>
        </w:rPr>
        <w:t>Opis przedmiotu zamówienia</w:t>
      </w:r>
    </w:p>
    <w:p w14:paraId="3BA5F69C" w14:textId="5CF87486" w:rsidR="00BA0A52" w:rsidRPr="00BA0A52" w:rsidRDefault="00BA0A52" w:rsidP="00BA0A52">
      <w:pPr>
        <w:jc w:val="center"/>
        <w:rPr>
          <w:rFonts w:eastAsiaTheme="minorHAnsi" w:cs="Calibri"/>
        </w:rPr>
      </w:pPr>
      <w:r w:rsidRPr="00BA0A52">
        <w:rPr>
          <w:rFonts w:eastAsiaTheme="minorHAnsi" w:cs="Calibri"/>
        </w:rPr>
        <w:t xml:space="preserve">Pełnienia nadzoru inwestorskiego dla potrzeb realizacji Zabezpieczenia przeciwpowodziowego potoku </w:t>
      </w:r>
      <w:proofErr w:type="spellStart"/>
      <w:r w:rsidRPr="00BA0A52">
        <w:rPr>
          <w:rFonts w:eastAsiaTheme="minorHAnsi" w:cs="Calibri"/>
        </w:rPr>
        <w:t>Tusznica</w:t>
      </w:r>
      <w:proofErr w:type="spellEnd"/>
      <w:r w:rsidRPr="00BA0A52">
        <w:rPr>
          <w:rFonts w:eastAsiaTheme="minorHAnsi" w:cs="Calibri"/>
        </w:rPr>
        <w:t xml:space="preserve"> gm. Kłaj, pow. wielicki. Zadanie 1-Budowa suchego zbiornika w km 5+168 potoku </w:t>
      </w:r>
      <w:proofErr w:type="spellStart"/>
      <w:r w:rsidRPr="00BA0A52">
        <w:rPr>
          <w:rFonts w:eastAsiaTheme="minorHAnsi" w:cs="Calibri"/>
        </w:rPr>
        <w:t>Tusznica</w:t>
      </w:r>
      <w:proofErr w:type="spellEnd"/>
      <w:r w:rsidRPr="00BA0A52">
        <w:rPr>
          <w:rFonts w:eastAsiaTheme="minorHAnsi" w:cs="Calibri"/>
        </w:rPr>
        <w:t xml:space="preserve"> w gm. Kłaj, pow. wielicki, województwo małopolskie.</w:t>
      </w:r>
    </w:p>
    <w:p w14:paraId="68F28806" w14:textId="77777777" w:rsidR="00BA0A52" w:rsidRPr="00BA0A52" w:rsidRDefault="00BA0A52" w:rsidP="00BA0A52">
      <w:pPr>
        <w:rPr>
          <w:rFonts w:eastAsiaTheme="minorHAnsi" w:cs="Calibri"/>
        </w:rPr>
      </w:pPr>
    </w:p>
    <w:p w14:paraId="3B5947B7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 xml:space="preserve">Budowa suchego zbiornika w km 5+168 potoku </w:t>
      </w:r>
      <w:proofErr w:type="spellStart"/>
      <w:r w:rsidRPr="00BA0A52">
        <w:rPr>
          <w:rFonts w:eastAsiaTheme="minorHAnsi" w:cs="Calibri"/>
        </w:rPr>
        <w:t>Tusznica</w:t>
      </w:r>
      <w:proofErr w:type="spellEnd"/>
      <w:r w:rsidRPr="00BA0A52">
        <w:rPr>
          <w:rFonts w:eastAsiaTheme="minorHAnsi" w:cs="Calibri"/>
        </w:rPr>
        <w:t xml:space="preserve"> (lokalizacja osi zapory czołowej, początek inwestycji w odniesieniu do km potoku- 5+060, koniec inwestycji w odniesieniu do km potoku 6+040) w miejscowości Łysokanie, Dąbrowa, Brzezie, Szarów, gmina Kłaj, powiat wielicki, województwo małopolskie obejmuje następujący zakres robót budowlanych:</w:t>
      </w:r>
    </w:p>
    <w:p w14:paraId="6B2102C8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a.</w:t>
      </w:r>
      <w:r w:rsidRPr="00BA0A52">
        <w:rPr>
          <w:rFonts w:eastAsiaTheme="minorHAnsi" w:cs="Calibri"/>
        </w:rPr>
        <w:tab/>
        <w:t>Budowę zapory czołowej w km 5+168 potoku wraz z robotami i urządzeniami towarzyszącymi;</w:t>
      </w:r>
    </w:p>
    <w:p w14:paraId="6C74A18C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b.</w:t>
      </w:r>
      <w:r w:rsidRPr="00BA0A52">
        <w:rPr>
          <w:rFonts w:eastAsiaTheme="minorHAnsi" w:cs="Calibri"/>
        </w:rPr>
        <w:tab/>
        <w:t>Budowę zapory bocznej wraz z robotami towarzyszącymi;</w:t>
      </w:r>
    </w:p>
    <w:p w14:paraId="51667178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c.</w:t>
      </w:r>
      <w:r w:rsidRPr="00BA0A52">
        <w:rPr>
          <w:rFonts w:eastAsiaTheme="minorHAnsi" w:cs="Calibri"/>
        </w:rPr>
        <w:tab/>
        <w:t xml:space="preserve">Przebudowę zabezpieczenia podstawy słupa wysokiego napięcia nr 70A 2-torowej  linii 110 </w:t>
      </w:r>
      <w:proofErr w:type="spellStart"/>
      <w:r w:rsidRPr="00BA0A52">
        <w:rPr>
          <w:rFonts w:eastAsiaTheme="minorHAnsi" w:cs="Calibri"/>
        </w:rPr>
        <w:t>kV</w:t>
      </w:r>
      <w:proofErr w:type="spellEnd"/>
      <w:r w:rsidRPr="00BA0A52">
        <w:rPr>
          <w:rFonts w:eastAsiaTheme="minorHAnsi" w:cs="Calibri"/>
        </w:rPr>
        <w:t xml:space="preserve"> relacji Niepołomice-Kurów wraz z robotami towarzyszącymi;</w:t>
      </w:r>
    </w:p>
    <w:p w14:paraId="621BDAF0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d.</w:t>
      </w:r>
      <w:r w:rsidRPr="00BA0A52">
        <w:rPr>
          <w:rFonts w:eastAsiaTheme="minorHAnsi" w:cs="Calibri"/>
        </w:rPr>
        <w:tab/>
        <w:t xml:space="preserve">Budowę rowu otwartego umocnionego narzutem kamiennym o całkowitej długości ok. 57 </w:t>
      </w:r>
      <w:proofErr w:type="spellStart"/>
      <w:r w:rsidRPr="00BA0A52">
        <w:rPr>
          <w:rFonts w:eastAsiaTheme="minorHAnsi" w:cs="Calibri"/>
        </w:rPr>
        <w:t>mb</w:t>
      </w:r>
      <w:proofErr w:type="spellEnd"/>
      <w:r w:rsidRPr="00BA0A52">
        <w:rPr>
          <w:rFonts w:eastAsiaTheme="minorHAnsi" w:cs="Calibri"/>
        </w:rPr>
        <w:t xml:space="preserve"> wraz z robotami towarzyszącymi;</w:t>
      </w:r>
    </w:p>
    <w:p w14:paraId="61AB1AED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e.</w:t>
      </w:r>
      <w:r w:rsidRPr="00BA0A52">
        <w:rPr>
          <w:rFonts w:eastAsiaTheme="minorHAnsi" w:cs="Calibri"/>
        </w:rPr>
        <w:tab/>
        <w:t>Przebudowę rowu melioracyjnego w km 5+373 wraz z robotami towarzyszącymi;</w:t>
      </w:r>
    </w:p>
    <w:p w14:paraId="7C34EBF5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f.</w:t>
      </w:r>
      <w:r w:rsidRPr="00BA0A52">
        <w:rPr>
          <w:rFonts w:eastAsiaTheme="minorHAnsi" w:cs="Calibri"/>
        </w:rPr>
        <w:tab/>
        <w:t>Przebudowę sieci napowietrznej niskiego napięcia wraz z robotami towarzyszącymi;</w:t>
      </w:r>
    </w:p>
    <w:p w14:paraId="154D0B7F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g.</w:t>
      </w:r>
      <w:r w:rsidRPr="00BA0A52">
        <w:rPr>
          <w:rFonts w:eastAsiaTheme="minorHAnsi" w:cs="Calibri"/>
        </w:rPr>
        <w:tab/>
        <w:t>Przebudowę sieci napowietrznej średniego napięcia wraz z robotami towarzyszącymi;</w:t>
      </w:r>
    </w:p>
    <w:p w14:paraId="50B90F78" w14:textId="77777777" w:rsidR="00326B0E" w:rsidRPr="00326B0E" w:rsidRDefault="00326B0E" w:rsidP="00326B0E">
      <w:pPr>
        <w:widowControl w:val="0"/>
        <w:suppressAutoHyphens/>
        <w:spacing w:after="0" w:line="276" w:lineRule="auto"/>
        <w:rPr>
          <w:rFonts w:cs="Calibri"/>
        </w:rPr>
      </w:pPr>
      <w:r w:rsidRPr="00326B0E">
        <w:rPr>
          <w:rFonts w:cs="Calibri"/>
        </w:rPr>
        <w:t>Obowiązki Wykonawcy obejmują w szczególności:</w:t>
      </w:r>
    </w:p>
    <w:p w14:paraId="66935BE9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eastAsia="Times New Roman" w:cs="Calibri"/>
          <w:lang w:eastAsia="pl-PL"/>
        </w:rPr>
        <w:t xml:space="preserve">- </w:t>
      </w:r>
      <w:r w:rsidRPr="00326B0E">
        <w:rPr>
          <w:rFonts w:cs="Calibri"/>
        </w:rPr>
        <w:t>sprawowanie funkcji Inspektora Nadzoru zgodnie z obowiązującymi przepisami prawa w szczególności z art. 25 i 26 ustawy z dnia 7 lipca 1994 r. Prawo budowlane i zasadami wiedzy technicznej;</w:t>
      </w:r>
    </w:p>
    <w:p w14:paraId="3E39FA5F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kontrolowanie zgodności realizacji budowy z projektem oraz uzgodnieniami w ramach wykonanych prac budowlanych;</w:t>
      </w:r>
    </w:p>
    <w:p w14:paraId="5146EA99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wnioskowanie o wprowadzenie rozwiązań zamiennych w stosunku do przewidzianych w projekcie a zgłoszonych przez kierownika budowy w ramach wartości umownych zadania pn. Budowa suchego zbiornika w km 5+168 potoku </w:t>
      </w:r>
      <w:proofErr w:type="spellStart"/>
      <w:r w:rsidRPr="00326B0E">
        <w:rPr>
          <w:rFonts w:cs="Calibri"/>
        </w:rPr>
        <w:t>Tusznica</w:t>
      </w:r>
      <w:proofErr w:type="spellEnd"/>
      <w:r w:rsidRPr="00326B0E">
        <w:rPr>
          <w:rFonts w:cs="Calibri"/>
        </w:rPr>
        <w:t xml:space="preserve"> w gm. Kłaj, pow. wielicki, województwo małopolskie zadania z planem BIOZ oraz jego akceptacja;</w:t>
      </w:r>
    </w:p>
    <w:p w14:paraId="28A2D27D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czuwanie i odpowiedzialność nad przestrzeganiem przepisów BHP przy realizacji prac budowlanych;</w:t>
      </w:r>
    </w:p>
    <w:p w14:paraId="0971D643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udzielanie stosownych wyjaśnień Wykonawcy odnośnie wszelkich wątpliwości powstałych w toku realizacji zadania;</w:t>
      </w:r>
    </w:p>
    <w:p w14:paraId="6F357B70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dokonywanie regularnych wpisów do Dziennika Budowy;</w:t>
      </w:r>
    </w:p>
    <w:p w14:paraId="71CD733E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sprawdzanie, kontrolowanie i egzekwowanie właściwej jakości robót i wyrobów budowlanych, w tym kontrola zgodności z projektem, specyfikacją techniczną wykonania i odbioru robót oraz obowiązującymi normami, sprawdzanie posiadania przez Wykonawcę odpowiednich dokumentów jakości (atestów, świadectw, jakości, wyników badań) dotyczących materiałów, wyrobów itp. oraz </w:t>
      </w:r>
      <w:r w:rsidRPr="00326B0E">
        <w:rPr>
          <w:rFonts w:cs="Calibri"/>
        </w:rPr>
        <w:lastRenderedPageBreak/>
        <w:t>zapobieganie stosowania wyrobów budowlanych niezgodnych z dokumentacją projektową, wadliwych i niedopuszczonych do obrotu i stosowania w budownictwie;</w:t>
      </w:r>
    </w:p>
    <w:p w14:paraId="71CAFF97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podejmowanie działań dla zabezpieczenia terminowej realizacji robót budowlanych, w tym monitorowanie Zamawiającemu ryzyka niewykonania prac w terminie;</w:t>
      </w:r>
    </w:p>
    <w:p w14:paraId="13BC3D9E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potwierdzanie faktycznie wykonanych robót oraz egzekwowanie usunięcia stwierdzonych wad i usterek; </w:t>
      </w:r>
    </w:p>
    <w:p w14:paraId="37949052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sprawdzanie i odbiór robót budowlanych ulegających zakryciu lub zanikających, odbiór techniczny prób, instalacji i urządzeń technicznych oraz uczestniczenie w próbach, pomiarach i odbiorach technicznych;</w:t>
      </w:r>
    </w:p>
    <w:p w14:paraId="59715CEC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dokonanie w Dzienniku Budowy wpisu o gotowości do odbioru oraz udział w czynnościach odbiorowych i przekazywaniu ich do użytkowania; </w:t>
      </w:r>
    </w:p>
    <w:p w14:paraId="6D06C058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na żądanie Zamawiającego udział w Komisjach Technicznych na budowie lub u Zamawiającego;</w:t>
      </w:r>
    </w:p>
    <w:p w14:paraId="370DDE6A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kompletowanie dokumentacji powykonawczej, w tym sprawdzanie i weryfikacja obmiarów i kosztorysów powykonawczych oraz kosztorysów na ewentualne roboty dodatkowe;</w:t>
      </w:r>
    </w:p>
    <w:p w14:paraId="2A1A5875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kontrolowanie i dokonywanie rozliczenia budowy, m.in. kosztorysów powykonawczych wraz z innymi dokumentami załączonymi do rozliczenia tych robót, zgodnie z obowiązującymi w tym zakresie przepisami prawa i w celu sprawdzenia pod względem ilościowym i jakościowym rzeczywiście wykonanych prac;</w:t>
      </w:r>
    </w:p>
    <w:p w14:paraId="4FC05313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stawianie się na terenie budowy na czas wykonywania robót wymagających nadzoru nie rzadziej niż dwa razy w tygodniu; </w:t>
      </w:r>
    </w:p>
    <w:p w14:paraId="203FE030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po zakończeniu robót budowlanych, w przypadku wyniknięcia kwestii spornych pomiędzy Zamawiającym a Wykonawcą robót budowlanych, Inspektor Nadzoru Inwestorskiego zobowiązany jest do nieodpłatnego uczestnictwa w działaniach mających na celu rozstrzygnięcie tych kwestii poprzez sporządzanie niezbędnych dokumentów a zwłaszcza m.in. opinii, weryfikacji dokumentacji z przeprowadzonej inwestycji itp., przez cały okres udzielonej przez Wykonawcę robót budowlanych gwarancji i rękojmi w ramach uzgodnionej w niniejszej umowie cenie ryczałtowej;</w:t>
      </w:r>
    </w:p>
    <w:p w14:paraId="4D885493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uczestniczenie w przeglądach gwarancyjnych i egzekwowanie usunięcia stwierdzonych wad i usterek w okresie gwarancji i rękojmi dla robót objętych zamówieniem, w ramach wynagrodzenia ryczałtowego objętego niniejszą umową;</w:t>
      </w:r>
    </w:p>
    <w:p w14:paraId="02215BA8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informowanie Zamawiającego, drogą elektroniczną na adres poczty e-mail:  Jacek.Majcherek@wody.gov.pl o zagrożeniach w realizacji zadania, występujących odstępstwach jakościowych, odstępstwach co do sposobu wykonania zadania;</w:t>
      </w:r>
    </w:p>
    <w:p w14:paraId="54C5DDBF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kontrola prawidłowości prowadzenia Dziennika Budowy i dokonywania w nich wpisów stwierdzających wszystkie okoliczności mające znaczenia dla oceny właściwego wykonania robót zgodnie z umową, opisem przedmiotu zamówienia, specyfikacją techniczną oraz przepisami prawa;</w:t>
      </w:r>
    </w:p>
    <w:p w14:paraId="45D8DE8D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rozstrzyganie wątpliwości natury technicznej, powstałych w toku wykonywania prac budowlanych, a w razie potrzeby zasięgania opinii autora projektu lub rzeczoznawców, w tym występowanie o udzielenie informacji; </w:t>
      </w:r>
    </w:p>
    <w:p w14:paraId="2BDEA2DD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egzekwowanie od Wykonawcy robót wszystkich warunków realizacji umowy zawartej między Zamawiającym, a Wykonawcą robót, w tym usunięcia usterek stwierdzonych w trakcie realizacji i na dzień odbioru; </w:t>
      </w:r>
    </w:p>
    <w:p w14:paraId="171AB162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na wezwanie Zamawiającego, przekazane pocztą elektroniczną, stawianie się na placu budowy lub w siedzibie Zamawiającego w terminie wyznaczonym w wezwaniu przez Zamawiającego;</w:t>
      </w:r>
    </w:p>
    <w:p w14:paraId="7613BFCF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sprawdzenia faktur Wykonawcy oraz dokumentów załączonych do rozliczenia robót pod względem merytorycznym i formalnym;</w:t>
      </w:r>
    </w:p>
    <w:p w14:paraId="6EB265C7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lastRenderedPageBreak/>
        <w:t>- weryfikacja przygotowanych przez Wykonawcę robót budowlanych dokumentów niezbędnych do odbioru inwestycji pod względem merytorycznym i formalnym;</w:t>
      </w:r>
    </w:p>
    <w:p w14:paraId="4CF76D9E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organizowanie i prowadzenie narad technicznych, problemowych i innych spotkań zwołanych przez Zamawiającego i ich protokołowania;</w:t>
      </w:r>
    </w:p>
    <w:p w14:paraId="4B3516A5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opiniowanie wszelkiej dokumentacji dotyczącej podwykonawców zgłaszanych przez Wykonawcę zadania robót budowlanych i kontrolowanie sposobu wykonania umowy przez Wykonawcę, pod kątem zabezpieczenia Zamawiającego przed ryzykiem solidarnej odpowiedzialności inwestora za roszczenia podwykonawców;</w:t>
      </w:r>
    </w:p>
    <w:p w14:paraId="4EB2A663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egzekwowanie od Wykonawcy zadania robót budowlanych kompletnej dokumentacji dotyczącej podwykonawców, w tym oświadczeń o niezaleganiu z płatnościami oraz wszelkich innych dokumentów niezbędnych do prawidłowego zarządzania ryzykiem solidarnej odpowiedzialności inwestora za roszczenia podwykonawców;</w:t>
      </w:r>
    </w:p>
    <w:p w14:paraId="36A5F3C4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sprawdzanie wszelkiej dokumentacji i korespondencji przekazywanej przez Wykonawcę robót budowlanych pod względem merytorycznym i formalnym;</w:t>
      </w:r>
    </w:p>
    <w:p w14:paraId="17856AD7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sprawdzenie harmonogramu rzeczowo – finansowego dla inwestycji przedłożonej przez Wykonawcę robót budowlanych oraz jego akceptacja i bieżące sprawdzanie przestrzegania harmonogramu. </w:t>
      </w:r>
    </w:p>
    <w:p w14:paraId="74607C44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 Prawa budowlanego a także informacji i dokumentów potwierdzających dopuszczenie do stosowania urządzeń technicznych;</w:t>
      </w:r>
    </w:p>
    <w:p w14:paraId="348C2574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7F85AA94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czynne uczestnictwo w pozyskiwaniu pozwolenia na użytkowanie zbiornika</w:t>
      </w:r>
    </w:p>
    <w:p w14:paraId="5DE01D0F" w14:textId="77777777" w:rsidR="00326B0E" w:rsidRDefault="00326B0E" w:rsidP="00326B0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616C97" w14:textId="6F9FBB44" w:rsidR="00326B0E" w:rsidRDefault="00326B0E" w:rsidP="00326B0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Szczegółowy opis przedmiotu zawiera : przedmiar robót, Specyfikacja techniczna i dokumentacja projektowa, decyzje i uzgodnienia które są dostępne pod adresem </w:t>
      </w:r>
      <w:hyperlink r:id="rId7" w:history="1">
        <w:r w:rsidRPr="0077606E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https://przetargi.wody.gov.pl/wp/postepowania-przetargow/r12992,Zabezpieczenie-przeciwpowodziowe-dla-potoku-Tusznica-gm-Klaj-pow-wielicki-Zadani.html</w:t>
        </w:r>
      </w:hyperlink>
    </w:p>
    <w:p w14:paraId="24462CFA" w14:textId="77777777" w:rsidR="00326B0E" w:rsidRDefault="00326B0E" w:rsidP="00BA0A52">
      <w:pPr>
        <w:rPr>
          <w:rFonts w:eastAsiaTheme="minorHAnsi" w:cs="Calibri"/>
        </w:rPr>
      </w:pPr>
    </w:p>
    <w:p w14:paraId="0D10988D" w14:textId="77777777" w:rsidR="00326B0E" w:rsidRDefault="00326B0E" w:rsidP="00BA0A52">
      <w:pPr>
        <w:rPr>
          <w:rFonts w:eastAsiaTheme="minorHAnsi" w:cs="Calibri"/>
        </w:rPr>
      </w:pPr>
    </w:p>
    <w:p w14:paraId="30D63D41" w14:textId="424C8D1F" w:rsidR="008A014E" w:rsidRPr="00BA0A52" w:rsidRDefault="008A014E" w:rsidP="00572207">
      <w:pPr>
        <w:spacing w:line="276" w:lineRule="auto"/>
        <w:jc w:val="both"/>
        <w:outlineLvl w:val="1"/>
        <w:rPr>
          <w:rFonts w:cs="Calibri"/>
        </w:rPr>
      </w:pPr>
    </w:p>
    <w:sectPr w:rsidR="008A014E" w:rsidRPr="00BA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544F" w14:textId="77777777" w:rsidR="00E87B98" w:rsidRDefault="00E87B98" w:rsidP="008A014E">
      <w:pPr>
        <w:spacing w:after="0" w:line="240" w:lineRule="auto"/>
      </w:pPr>
      <w:r>
        <w:separator/>
      </w:r>
    </w:p>
  </w:endnote>
  <w:endnote w:type="continuationSeparator" w:id="0">
    <w:p w14:paraId="2B9C67F2" w14:textId="77777777" w:rsidR="00E87B98" w:rsidRDefault="00E87B98" w:rsidP="008A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nt278">
    <w:altName w:val="Times New Roman"/>
    <w:charset w:val="EE"/>
    <w:family w:val="auto"/>
    <w:pitch w:val="variable"/>
  </w:font>
  <w:font w:name="font28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EC9F" w14:textId="77777777" w:rsidR="00E87B98" w:rsidRDefault="00E87B98" w:rsidP="008A014E">
      <w:pPr>
        <w:spacing w:after="0" w:line="240" w:lineRule="auto"/>
      </w:pPr>
      <w:r>
        <w:separator/>
      </w:r>
    </w:p>
  </w:footnote>
  <w:footnote w:type="continuationSeparator" w:id="0">
    <w:p w14:paraId="50CF8F46" w14:textId="77777777" w:rsidR="00E87B98" w:rsidRDefault="00E87B98" w:rsidP="008A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2"/>
        <w:szCs w:val="22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2"/>
        <w:szCs w:val="22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5" w15:restartNumberingAfterBreak="0">
    <w:nsid w:val="06103849"/>
    <w:multiLevelType w:val="hybridMultilevel"/>
    <w:tmpl w:val="1994A2B0"/>
    <w:lvl w:ilvl="0" w:tplc="251604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187E4A"/>
    <w:multiLevelType w:val="hybridMultilevel"/>
    <w:tmpl w:val="1E3A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4F6"/>
    <w:multiLevelType w:val="hybridMultilevel"/>
    <w:tmpl w:val="DDE421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4730CE"/>
    <w:multiLevelType w:val="hybridMultilevel"/>
    <w:tmpl w:val="258CF230"/>
    <w:lvl w:ilvl="0" w:tplc="25160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4649F"/>
    <w:multiLevelType w:val="hybridMultilevel"/>
    <w:tmpl w:val="B5702974"/>
    <w:name w:val="WW8Num3222"/>
    <w:lvl w:ilvl="0" w:tplc="D37EFF0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7B98"/>
    <w:multiLevelType w:val="hybridMultilevel"/>
    <w:tmpl w:val="378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E832438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ind w:left="860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1B33FE2"/>
    <w:multiLevelType w:val="hybridMultilevel"/>
    <w:tmpl w:val="2070C2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D711BCC"/>
    <w:multiLevelType w:val="hybridMultilevel"/>
    <w:tmpl w:val="46442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4"/>
  </w:num>
  <w:num w:numId="5">
    <w:abstractNumId w:val="11"/>
  </w:num>
  <w:num w:numId="6">
    <w:abstractNumId w:val="17"/>
  </w:num>
  <w:num w:numId="7">
    <w:abstractNumId w:val="16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82"/>
    <w:rsid w:val="000032C6"/>
    <w:rsid w:val="000231A8"/>
    <w:rsid w:val="0002386A"/>
    <w:rsid w:val="00027338"/>
    <w:rsid w:val="00047D5B"/>
    <w:rsid w:val="00080586"/>
    <w:rsid w:val="00086572"/>
    <w:rsid w:val="00093795"/>
    <w:rsid w:val="000A1BDF"/>
    <w:rsid w:val="000C1FC5"/>
    <w:rsid w:val="000D5960"/>
    <w:rsid w:val="000E0133"/>
    <w:rsid w:val="001618AC"/>
    <w:rsid w:val="001728DD"/>
    <w:rsid w:val="00192420"/>
    <w:rsid w:val="00193221"/>
    <w:rsid w:val="00193E91"/>
    <w:rsid w:val="001A517B"/>
    <w:rsid w:val="001B58DC"/>
    <w:rsid w:val="001D65D3"/>
    <w:rsid w:val="001D7AEA"/>
    <w:rsid w:val="001D7BB5"/>
    <w:rsid w:val="001E2270"/>
    <w:rsid w:val="001E5CD0"/>
    <w:rsid w:val="001F07BE"/>
    <w:rsid w:val="002060F5"/>
    <w:rsid w:val="0021528E"/>
    <w:rsid w:val="00222422"/>
    <w:rsid w:val="002269ED"/>
    <w:rsid w:val="002277C2"/>
    <w:rsid w:val="00230D46"/>
    <w:rsid w:val="00241884"/>
    <w:rsid w:val="00280831"/>
    <w:rsid w:val="0028224C"/>
    <w:rsid w:val="00285EB5"/>
    <w:rsid w:val="00296612"/>
    <w:rsid w:val="002A6817"/>
    <w:rsid w:val="002A7E1D"/>
    <w:rsid w:val="002F1BED"/>
    <w:rsid w:val="002F6701"/>
    <w:rsid w:val="0030721D"/>
    <w:rsid w:val="003238BC"/>
    <w:rsid w:val="00326B0E"/>
    <w:rsid w:val="003471DA"/>
    <w:rsid w:val="00363DD0"/>
    <w:rsid w:val="00376559"/>
    <w:rsid w:val="00390921"/>
    <w:rsid w:val="00391EE9"/>
    <w:rsid w:val="003938B3"/>
    <w:rsid w:val="003A3F48"/>
    <w:rsid w:val="003D34DD"/>
    <w:rsid w:val="003F579B"/>
    <w:rsid w:val="003F69F7"/>
    <w:rsid w:val="003F7FE4"/>
    <w:rsid w:val="004002FA"/>
    <w:rsid w:val="00401340"/>
    <w:rsid w:val="0041104D"/>
    <w:rsid w:val="004338EF"/>
    <w:rsid w:val="004529C6"/>
    <w:rsid w:val="00461B09"/>
    <w:rsid w:val="00470DC0"/>
    <w:rsid w:val="0047118B"/>
    <w:rsid w:val="00472424"/>
    <w:rsid w:val="004771F6"/>
    <w:rsid w:val="00492709"/>
    <w:rsid w:val="00493840"/>
    <w:rsid w:val="00495CDF"/>
    <w:rsid w:val="004A1977"/>
    <w:rsid w:val="004A4B94"/>
    <w:rsid w:val="004A77AE"/>
    <w:rsid w:val="004B09CB"/>
    <w:rsid w:val="004F67BD"/>
    <w:rsid w:val="0050791B"/>
    <w:rsid w:val="0051706B"/>
    <w:rsid w:val="00572207"/>
    <w:rsid w:val="005B011B"/>
    <w:rsid w:val="005C3998"/>
    <w:rsid w:val="005D0510"/>
    <w:rsid w:val="005D78CA"/>
    <w:rsid w:val="005E1011"/>
    <w:rsid w:val="0060066E"/>
    <w:rsid w:val="00610DBC"/>
    <w:rsid w:val="006210EE"/>
    <w:rsid w:val="00640F94"/>
    <w:rsid w:val="00641AF3"/>
    <w:rsid w:val="00654E80"/>
    <w:rsid w:val="006617A3"/>
    <w:rsid w:val="00667833"/>
    <w:rsid w:val="006716AA"/>
    <w:rsid w:val="00674828"/>
    <w:rsid w:val="00674D31"/>
    <w:rsid w:val="00674DF7"/>
    <w:rsid w:val="00676B7A"/>
    <w:rsid w:val="00682946"/>
    <w:rsid w:val="006926A5"/>
    <w:rsid w:val="006A6CBA"/>
    <w:rsid w:val="006A7BD5"/>
    <w:rsid w:val="006D00A7"/>
    <w:rsid w:val="006D55C2"/>
    <w:rsid w:val="006E3B8F"/>
    <w:rsid w:val="00705ADF"/>
    <w:rsid w:val="007250F9"/>
    <w:rsid w:val="0073603E"/>
    <w:rsid w:val="00765D1A"/>
    <w:rsid w:val="007C2531"/>
    <w:rsid w:val="007E5A00"/>
    <w:rsid w:val="00833382"/>
    <w:rsid w:val="00835278"/>
    <w:rsid w:val="00837BAA"/>
    <w:rsid w:val="00842994"/>
    <w:rsid w:val="00873E2D"/>
    <w:rsid w:val="008742F3"/>
    <w:rsid w:val="00876818"/>
    <w:rsid w:val="00884BC9"/>
    <w:rsid w:val="00885274"/>
    <w:rsid w:val="00895614"/>
    <w:rsid w:val="008A014E"/>
    <w:rsid w:val="008A2779"/>
    <w:rsid w:val="008A6EAA"/>
    <w:rsid w:val="008C2EDE"/>
    <w:rsid w:val="008E1858"/>
    <w:rsid w:val="008F45A9"/>
    <w:rsid w:val="008F51D7"/>
    <w:rsid w:val="00913514"/>
    <w:rsid w:val="00917AA8"/>
    <w:rsid w:val="00920FD6"/>
    <w:rsid w:val="00921154"/>
    <w:rsid w:val="009360FC"/>
    <w:rsid w:val="00942813"/>
    <w:rsid w:val="00946D5E"/>
    <w:rsid w:val="00953657"/>
    <w:rsid w:val="00960E28"/>
    <w:rsid w:val="009707D1"/>
    <w:rsid w:val="00975AB2"/>
    <w:rsid w:val="00977FCD"/>
    <w:rsid w:val="009946BA"/>
    <w:rsid w:val="009A1D92"/>
    <w:rsid w:val="009A7489"/>
    <w:rsid w:val="009C7EF9"/>
    <w:rsid w:val="009C7F9E"/>
    <w:rsid w:val="009D5170"/>
    <w:rsid w:val="009E23DD"/>
    <w:rsid w:val="009E636A"/>
    <w:rsid w:val="009E792A"/>
    <w:rsid w:val="009F391D"/>
    <w:rsid w:val="00A1171D"/>
    <w:rsid w:val="00A157D2"/>
    <w:rsid w:val="00A249EF"/>
    <w:rsid w:val="00A561B3"/>
    <w:rsid w:val="00A75481"/>
    <w:rsid w:val="00A76561"/>
    <w:rsid w:val="00A81473"/>
    <w:rsid w:val="00A82307"/>
    <w:rsid w:val="00A9062C"/>
    <w:rsid w:val="00A93965"/>
    <w:rsid w:val="00AA2CAC"/>
    <w:rsid w:val="00AB5D68"/>
    <w:rsid w:val="00AC2851"/>
    <w:rsid w:val="00AD773F"/>
    <w:rsid w:val="00AE166D"/>
    <w:rsid w:val="00AE357C"/>
    <w:rsid w:val="00AF5E94"/>
    <w:rsid w:val="00B010EA"/>
    <w:rsid w:val="00B04A3E"/>
    <w:rsid w:val="00B0751F"/>
    <w:rsid w:val="00B23FC0"/>
    <w:rsid w:val="00B3343F"/>
    <w:rsid w:val="00B44221"/>
    <w:rsid w:val="00B473F0"/>
    <w:rsid w:val="00B50657"/>
    <w:rsid w:val="00B57040"/>
    <w:rsid w:val="00B969C7"/>
    <w:rsid w:val="00BA0A52"/>
    <w:rsid w:val="00BA674B"/>
    <w:rsid w:val="00BB7944"/>
    <w:rsid w:val="00BF5292"/>
    <w:rsid w:val="00C02793"/>
    <w:rsid w:val="00C16C6D"/>
    <w:rsid w:val="00C23E9B"/>
    <w:rsid w:val="00C34BA9"/>
    <w:rsid w:val="00C406AC"/>
    <w:rsid w:val="00C42FDA"/>
    <w:rsid w:val="00C464BA"/>
    <w:rsid w:val="00C477E0"/>
    <w:rsid w:val="00C52698"/>
    <w:rsid w:val="00C61885"/>
    <w:rsid w:val="00C86177"/>
    <w:rsid w:val="00CA2978"/>
    <w:rsid w:val="00CB76F6"/>
    <w:rsid w:val="00CD6AA4"/>
    <w:rsid w:val="00CE0628"/>
    <w:rsid w:val="00CE3AC4"/>
    <w:rsid w:val="00CF17D7"/>
    <w:rsid w:val="00CF49E0"/>
    <w:rsid w:val="00D0119C"/>
    <w:rsid w:val="00D06B81"/>
    <w:rsid w:val="00D41771"/>
    <w:rsid w:val="00D41BE4"/>
    <w:rsid w:val="00D4217F"/>
    <w:rsid w:val="00D62092"/>
    <w:rsid w:val="00D80A8E"/>
    <w:rsid w:val="00DC2B9C"/>
    <w:rsid w:val="00DC74A2"/>
    <w:rsid w:val="00DD2FBC"/>
    <w:rsid w:val="00DD5B43"/>
    <w:rsid w:val="00DD5F43"/>
    <w:rsid w:val="00DE0D07"/>
    <w:rsid w:val="00DE6707"/>
    <w:rsid w:val="00E14B21"/>
    <w:rsid w:val="00E15251"/>
    <w:rsid w:val="00E16EA9"/>
    <w:rsid w:val="00E315CF"/>
    <w:rsid w:val="00E326DD"/>
    <w:rsid w:val="00E432BB"/>
    <w:rsid w:val="00E53131"/>
    <w:rsid w:val="00E6685E"/>
    <w:rsid w:val="00E811CB"/>
    <w:rsid w:val="00E82639"/>
    <w:rsid w:val="00E87B98"/>
    <w:rsid w:val="00EA0846"/>
    <w:rsid w:val="00EA17D0"/>
    <w:rsid w:val="00EB1EB3"/>
    <w:rsid w:val="00EB4C51"/>
    <w:rsid w:val="00EC0015"/>
    <w:rsid w:val="00EC40B0"/>
    <w:rsid w:val="00ED635E"/>
    <w:rsid w:val="00ED6EFE"/>
    <w:rsid w:val="00EE38A6"/>
    <w:rsid w:val="00EE5865"/>
    <w:rsid w:val="00EF2CB8"/>
    <w:rsid w:val="00EF6AC8"/>
    <w:rsid w:val="00F12CB4"/>
    <w:rsid w:val="00F17D5D"/>
    <w:rsid w:val="00F17F94"/>
    <w:rsid w:val="00F5006E"/>
    <w:rsid w:val="00F56F5F"/>
    <w:rsid w:val="00F63343"/>
    <w:rsid w:val="00F654C9"/>
    <w:rsid w:val="00F71DA8"/>
    <w:rsid w:val="00F9508E"/>
    <w:rsid w:val="00FA000A"/>
    <w:rsid w:val="00FA4C66"/>
    <w:rsid w:val="00FB020C"/>
    <w:rsid w:val="00FB0223"/>
    <w:rsid w:val="00FC1B0D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CEE7"/>
  <w15:chartTrackingRefBased/>
  <w15:docId w15:val="{6311C1E3-027D-48F2-A91D-EC067AA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8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autoRedefine/>
    <w:qFormat/>
    <w:rsid w:val="0002386A"/>
    <w:pPr>
      <w:keepNext/>
      <w:numPr>
        <w:numId w:val="7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02386A"/>
    <w:pPr>
      <w:numPr>
        <w:ilvl w:val="1"/>
        <w:numId w:val="7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02386A"/>
    <w:pPr>
      <w:numPr>
        <w:ilvl w:val="2"/>
        <w:numId w:val="7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/>
      <w:bCs/>
      <w:sz w:val="24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386A"/>
    <w:pPr>
      <w:numPr>
        <w:ilvl w:val="6"/>
        <w:numId w:val="7"/>
      </w:numPr>
      <w:spacing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2386A"/>
    <w:pPr>
      <w:numPr>
        <w:ilvl w:val="7"/>
        <w:numId w:val="7"/>
      </w:numPr>
      <w:spacing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2386A"/>
    <w:pPr>
      <w:numPr>
        <w:ilvl w:val="8"/>
        <w:numId w:val="7"/>
      </w:numPr>
      <w:spacing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014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14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8A014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styleId="Odwoanieprzypisudolnego">
    <w:name w:val="footnote reference"/>
    <w:semiHidden/>
    <w:rsid w:val="008A0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14E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14E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8A01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link w:val="TytuZnak"/>
    <w:qFormat/>
    <w:rsid w:val="008A014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14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CDF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A561B3"/>
    <w:rPr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A561B3"/>
    <w:pPr>
      <w:spacing w:after="0" w:line="240" w:lineRule="auto"/>
      <w:jc w:val="both"/>
    </w:pPr>
    <w:rPr>
      <w:rFonts w:asciiTheme="minorHAnsi" w:eastAsiaTheme="minorHAnsi" w:hAnsiTheme="minorHAnsi" w:cstheme="minorBidi"/>
      <w:lang w:val="en-US" w:bidi="en-US"/>
    </w:rPr>
  </w:style>
  <w:style w:type="table" w:styleId="Tabela-Siatka">
    <w:name w:val="Table Grid"/>
    <w:basedOn w:val="Standardowy"/>
    <w:uiPriority w:val="39"/>
    <w:rsid w:val="00C464BA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basedOn w:val="Normalny"/>
    <w:rsid w:val="00AE166D"/>
    <w:pPr>
      <w:suppressAutoHyphens/>
      <w:spacing w:after="0" w:line="240" w:lineRule="auto"/>
      <w:jc w:val="both"/>
    </w:pPr>
    <w:rPr>
      <w:rFonts w:cs="font278"/>
      <w:lang w:val="en-US" w:bidi="en-US"/>
    </w:rPr>
  </w:style>
  <w:style w:type="paragraph" w:customStyle="1" w:styleId="Akapitzlist2">
    <w:name w:val="Akapit z listą2"/>
    <w:basedOn w:val="Normalny"/>
    <w:rsid w:val="00AE166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2">
    <w:name w:val="Bez odstępów2"/>
    <w:basedOn w:val="Normalny"/>
    <w:rsid w:val="00AE166D"/>
    <w:pPr>
      <w:suppressAutoHyphens/>
      <w:spacing w:after="0" w:line="240" w:lineRule="auto"/>
      <w:jc w:val="both"/>
    </w:pPr>
    <w:rPr>
      <w:rFonts w:cs="font281"/>
      <w:lang w:val="en-US" w:bidi="en-US"/>
    </w:rPr>
  </w:style>
  <w:style w:type="paragraph" w:customStyle="1" w:styleId="Standard">
    <w:name w:val="Standard"/>
    <w:rsid w:val="00AE166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E166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E166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2386A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2386A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2386A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38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2386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2386A"/>
    <w:rPr>
      <w:rFonts w:ascii="Arial" w:eastAsia="Times New Roman" w:hAnsi="Arial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86A"/>
    <w:pPr>
      <w:spacing w:after="0" w:line="240" w:lineRule="auto"/>
      <w:jc w:val="both"/>
    </w:pPr>
    <w:rPr>
      <w:rFonts w:ascii="Garamond" w:eastAsiaTheme="minorHAnsi" w:hAnsi="Garamond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86A"/>
    <w:rPr>
      <w:rFonts w:ascii="Garamond" w:hAnsi="Garamond"/>
      <w:sz w:val="20"/>
      <w:szCs w:val="20"/>
    </w:rPr>
  </w:style>
  <w:style w:type="paragraph" w:customStyle="1" w:styleId="xmsonormal">
    <w:name w:val="x_msonormal"/>
    <w:basedOn w:val="Normalny"/>
    <w:rsid w:val="00EF2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etargi.wody.gov.pl/wp/postepowania-przetargow/r12992,Zabezpieczenie-przeciwpowodziowe-dla-potoku-Tusznica-gm-Klaj-pow-wielicki-Zada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Piotr Porębski (RZGW Kraków)</cp:lastModifiedBy>
  <cp:revision>2</cp:revision>
  <cp:lastPrinted>2022-06-21T12:22:00Z</cp:lastPrinted>
  <dcterms:created xsi:type="dcterms:W3CDTF">2022-08-12T07:20:00Z</dcterms:created>
  <dcterms:modified xsi:type="dcterms:W3CDTF">2022-08-12T07:20:00Z</dcterms:modified>
</cp:coreProperties>
</file>