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15BCD73D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 xml:space="preserve">Utrzymanie publicznych śródlądowych wód powierzchniowych oraz urządzeń wodnych na terenie działania Zarządu Zlewni w Białymstoku - Nadzór Wodny w </w:t>
      </w:r>
      <w:r w:rsidR="00DB6635">
        <w:rPr>
          <w:rFonts w:eastAsia="Times New Roman" w:cs="Arial"/>
          <w:b/>
          <w:bCs/>
          <w:sz w:val="20"/>
          <w:szCs w:val="20"/>
          <w:lang w:eastAsia="pl-PL"/>
        </w:rPr>
        <w:t>Bielsku Podlaskim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D23A" w14:textId="77777777" w:rsidR="0096240E" w:rsidRDefault="0096240E" w:rsidP="00271313">
      <w:pPr>
        <w:spacing w:after="0" w:line="240" w:lineRule="auto"/>
      </w:pPr>
      <w:r>
        <w:separator/>
      </w:r>
    </w:p>
  </w:endnote>
  <w:endnote w:type="continuationSeparator" w:id="0">
    <w:p w14:paraId="5F2ECEBE" w14:textId="77777777" w:rsidR="0096240E" w:rsidRDefault="0096240E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C33F" w14:textId="77777777" w:rsidR="0096240E" w:rsidRDefault="0096240E" w:rsidP="00271313">
      <w:pPr>
        <w:spacing w:after="0" w:line="240" w:lineRule="auto"/>
      </w:pPr>
      <w:r>
        <w:separator/>
      </w:r>
    </w:p>
  </w:footnote>
  <w:footnote w:type="continuationSeparator" w:id="0">
    <w:p w14:paraId="10640552" w14:textId="77777777" w:rsidR="0096240E" w:rsidRDefault="0096240E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7CE315F1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C5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DB6635">
      <w:rPr>
        <w:rFonts w:cs="Arial"/>
        <w:bCs/>
        <w:sz w:val="20"/>
        <w:szCs w:val="20"/>
      </w:rPr>
      <w:t>5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40E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B6635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2023-03-29T07:42:00Z</dcterms:created>
  <dcterms:modified xsi:type="dcterms:W3CDTF">2023-03-29T07:42:00Z</dcterms:modified>
</cp:coreProperties>
</file>