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24A84D29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9C401C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9C401C">
        <w:rPr>
          <w:rFonts w:ascii="Arial" w:hAnsi="Arial" w:cs="Arial"/>
          <w:b/>
          <w:szCs w:val="24"/>
        </w:rPr>
        <w:t>wałów przeciwpowodziowych rzeki Wisły na łącznej dł. 9,025 km m. Drogomyśl, Ochaby, Kiczyce, Skoczów, Harbutowice gm. Strumień, Skoczów (rozmiar rzeczowy 9,025 km)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12E2F042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9C401C">
        <w:rPr>
          <w:rFonts w:ascii="Times New Roman" w:hAnsi="Times New Roman"/>
          <w:b/>
          <w:bCs/>
          <w:lang w:eastAsia="ar-SA"/>
        </w:rPr>
        <w:t>34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7552C1C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E96AA1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DC3906" w14:textId="77777777" w:rsidR="00E96AA1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44E958EC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C40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38923FCB" w:rsidR="002219B7" w:rsidRPr="00CE10A0" w:rsidRDefault="009C401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B24EC04" w:rsidR="002219B7" w:rsidRPr="00CE10A0" w:rsidRDefault="009C401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8CF8F68" w14:textId="458AF34E" w:rsidR="007C5F06" w:rsidRPr="009C401C" w:rsidRDefault="00892A8A" w:rsidP="009C401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9C401C">
        <w:rPr>
          <w:rFonts w:ascii="Times New Roman" w:hAnsi="Times New Roman"/>
          <w:i/>
          <w:sz w:val="20"/>
          <w:szCs w:val="20"/>
          <w:lang w:eastAsia="pl-PL"/>
        </w:rPr>
        <w:t>4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lastRenderedPageBreak/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4B2EBE86" w14:textId="20428365" w:rsidR="004E20C1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A1B" w14:textId="77777777" w:rsidR="00781522" w:rsidRDefault="00781522" w:rsidP="001F2640">
      <w:pPr>
        <w:spacing w:after="0" w:line="240" w:lineRule="auto"/>
      </w:pPr>
      <w:r>
        <w:separator/>
      </w:r>
    </w:p>
  </w:endnote>
  <w:endnote w:type="continuationSeparator" w:id="0">
    <w:p w14:paraId="14805745" w14:textId="77777777" w:rsidR="00781522" w:rsidRDefault="00781522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B63" w14:textId="77777777" w:rsidR="00781522" w:rsidRDefault="00781522" w:rsidP="001F2640">
      <w:pPr>
        <w:spacing w:after="0" w:line="240" w:lineRule="auto"/>
      </w:pPr>
      <w:r>
        <w:separator/>
      </w:r>
    </w:p>
  </w:footnote>
  <w:footnote w:type="continuationSeparator" w:id="0">
    <w:p w14:paraId="40521972" w14:textId="77777777" w:rsidR="00781522" w:rsidRDefault="00781522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E5518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81522"/>
    <w:rsid w:val="007A2BDA"/>
    <w:rsid w:val="007A66F3"/>
    <w:rsid w:val="007C5F06"/>
    <w:rsid w:val="007D67A7"/>
    <w:rsid w:val="00806C30"/>
    <w:rsid w:val="0080772F"/>
    <w:rsid w:val="00835649"/>
    <w:rsid w:val="00853FC1"/>
    <w:rsid w:val="00856A9D"/>
    <w:rsid w:val="00871AEE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83F50"/>
    <w:rsid w:val="00997E13"/>
    <w:rsid w:val="009A0491"/>
    <w:rsid w:val="009B7829"/>
    <w:rsid w:val="009C401C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1F31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65486"/>
    <w:rsid w:val="00D92A20"/>
    <w:rsid w:val="00D956E9"/>
    <w:rsid w:val="00DA2741"/>
    <w:rsid w:val="00DB1061"/>
    <w:rsid w:val="00DD7899"/>
    <w:rsid w:val="00DE276C"/>
    <w:rsid w:val="00E00D7E"/>
    <w:rsid w:val="00E02E44"/>
    <w:rsid w:val="00E166F5"/>
    <w:rsid w:val="00E27BC1"/>
    <w:rsid w:val="00E410A9"/>
    <w:rsid w:val="00E5794D"/>
    <w:rsid w:val="00E611A5"/>
    <w:rsid w:val="00E652CD"/>
    <w:rsid w:val="00E6553D"/>
    <w:rsid w:val="00E74658"/>
    <w:rsid w:val="00E81228"/>
    <w:rsid w:val="00E82D86"/>
    <w:rsid w:val="00E85706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27</cp:revision>
  <dcterms:created xsi:type="dcterms:W3CDTF">2022-05-09T09:04:00Z</dcterms:created>
  <dcterms:modified xsi:type="dcterms:W3CDTF">2023-05-23T07:23:00Z</dcterms:modified>
</cp:coreProperties>
</file>