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3D57A6BC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DA74AA" w:rsidRPr="00DA74AA">
        <w:rPr>
          <w:rFonts w:cs="Calibri"/>
          <w:b/>
          <w:bCs/>
          <w:i/>
          <w:iCs/>
          <w:sz w:val="22"/>
        </w:rPr>
        <w:t xml:space="preserve">Odbudowa zasobów wodnych i poprawa stanu hydrologicznego zlewni rzeki </w:t>
      </w:r>
      <w:proofErr w:type="spellStart"/>
      <w:r w:rsidR="00DA74AA" w:rsidRPr="00DA74AA">
        <w:rPr>
          <w:rFonts w:cs="Calibri"/>
          <w:b/>
          <w:bCs/>
          <w:i/>
          <w:iCs/>
          <w:sz w:val="22"/>
        </w:rPr>
        <w:t>Warcicy</w:t>
      </w:r>
      <w:proofErr w:type="spellEnd"/>
      <w:r w:rsidR="00DA74AA" w:rsidRPr="00DA74AA">
        <w:rPr>
          <w:rFonts w:cs="Calibri"/>
          <w:b/>
          <w:bCs/>
          <w:i/>
          <w:iCs/>
          <w:sz w:val="22"/>
        </w:rPr>
        <w:t>, poprzez jej zasilanie wodami rzeki Warty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7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77777777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3E87356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AD1E2E" w:rsidRPr="00AD1E2E">
      <w:rPr>
        <w:b/>
      </w:rPr>
      <w:t>PO.</w:t>
    </w:r>
    <w:r w:rsidR="0034783B" w:rsidRPr="005C1363">
      <w:rPr>
        <w:b/>
      </w:rPr>
      <w:t>ROZ.2810.</w:t>
    </w:r>
    <w:r w:rsidR="00DA74AA">
      <w:rPr>
        <w:b/>
      </w:rPr>
      <w:t>21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C136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D1E2E"/>
    <w:rsid w:val="00B5281C"/>
    <w:rsid w:val="00B7730C"/>
    <w:rsid w:val="00BC6703"/>
    <w:rsid w:val="00C14FDC"/>
    <w:rsid w:val="00CE64BE"/>
    <w:rsid w:val="00DA74AA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10</cp:revision>
  <dcterms:created xsi:type="dcterms:W3CDTF">2021-03-11T12:08:00Z</dcterms:created>
  <dcterms:modified xsi:type="dcterms:W3CDTF">2021-04-16T06:58:00Z</dcterms:modified>
</cp:coreProperties>
</file>