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bookmarkEnd w:id="1"/>
    <w:p w14:paraId="660F0A2D" w14:textId="685F8B4B" w:rsidR="00FC5FBD" w:rsidRPr="00646E7D" w:rsidRDefault="00FC5FBD" w:rsidP="00646E7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składane na podstawie art. 125 ust. 1 ustawy z dnia 11 września 2019 r.- Prawo zamówień (dalej jako ustawa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2" w:name="_Hlk74660311"/>
      <w:r w:rsidR="0044717C" w:rsidRPr="0044717C">
        <w:rPr>
          <w:rFonts w:asciiTheme="minorHAnsi" w:hAnsiTheme="minorHAnsi" w:cstheme="minorHAnsi"/>
          <w:b/>
          <w:bCs/>
          <w:sz w:val="20"/>
          <w:szCs w:val="20"/>
        </w:rPr>
        <w:t>Opracowanie operatów wodnoprawnych oraz instrukcji gospodarowania wodą dla budowli hydrotechnicznych znajdujących się na terenie działania Zarządu Zlewni w Ostrołęce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ustawy Pzp;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53EEA868" w14:textId="7ED9A677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Pzp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Pzp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4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5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5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następującego(-ych)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518B4925" w:rsidR="0012760D" w:rsidRDefault="0012760D" w:rsidP="00F64D1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2F364369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Pzp)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44717C" w:rsidRPr="0044717C">
        <w:rPr>
          <w:rFonts w:asciiTheme="minorHAnsi" w:hAnsiTheme="minorHAnsi" w:cstheme="minorHAnsi"/>
          <w:b/>
          <w:bCs/>
          <w:sz w:val="20"/>
          <w:szCs w:val="20"/>
        </w:rPr>
        <w:t>Opracowanie operatów wodnoprawnych oraz instrukcji gospodarowania wodą dla budowli hydrotechnicznych znajdujących się na terenie działania Zarządu Zlewni w Ostrołęce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Pzp;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1DB9DBFB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Pzp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F07D" w14:textId="77777777" w:rsidR="00D70269" w:rsidRDefault="00D70269" w:rsidP="001F727C">
      <w:pPr>
        <w:spacing w:after="0" w:line="240" w:lineRule="auto"/>
      </w:pPr>
      <w:r>
        <w:separator/>
      </w:r>
    </w:p>
  </w:endnote>
  <w:endnote w:type="continuationSeparator" w:id="0">
    <w:p w14:paraId="365CF17A" w14:textId="77777777" w:rsidR="00D70269" w:rsidRDefault="00D7026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C30F" w14:textId="77777777" w:rsidR="00D70269" w:rsidRDefault="00D70269" w:rsidP="001F727C">
      <w:pPr>
        <w:spacing w:after="0" w:line="240" w:lineRule="auto"/>
      </w:pPr>
      <w:r>
        <w:separator/>
      </w:r>
    </w:p>
  </w:footnote>
  <w:footnote w:type="continuationSeparator" w:id="0">
    <w:p w14:paraId="3D905E1E" w14:textId="77777777" w:rsidR="00D70269" w:rsidRDefault="00D70269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D77CC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17C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072B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42EE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C68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16CB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0269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D1B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56</cp:revision>
  <cp:lastPrinted>2021-05-27T10:06:00Z</cp:lastPrinted>
  <dcterms:created xsi:type="dcterms:W3CDTF">2019-07-12T14:38:00Z</dcterms:created>
  <dcterms:modified xsi:type="dcterms:W3CDTF">2021-06-16T12:31:00Z</dcterms:modified>
</cp:coreProperties>
</file>