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49BBF137" w:rsidR="00BD539A" w:rsidRPr="00574087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74087">
        <w:rPr>
          <w:rFonts w:ascii="Garamond" w:hAnsi="Garamond"/>
          <w:b/>
          <w:sz w:val="24"/>
          <w:szCs w:val="24"/>
        </w:rPr>
        <w:t>„</w:t>
      </w:r>
      <w:r w:rsidR="00FD287F" w:rsidRPr="00FD287F">
        <w:rPr>
          <w:rFonts w:ascii="Garamond" w:hAnsi="Garamond"/>
          <w:b/>
          <w:bCs/>
          <w:sz w:val="24"/>
          <w:szCs w:val="24"/>
        </w:rPr>
        <w:t>Wykonanie ekspertyzy syfonu rzeki Prut wraz z kosztorysem i projektem wykonawczym, celem jego udrożnienia</w:t>
      </w:r>
      <w:r w:rsidRPr="00574087">
        <w:rPr>
          <w:rFonts w:ascii="Garamond" w:hAnsi="Garamond"/>
          <w:b/>
          <w:sz w:val="24"/>
          <w:szCs w:val="24"/>
        </w:rPr>
        <w:t>”</w:t>
      </w:r>
    </w:p>
    <w:p w14:paraId="37C0DA92" w14:textId="0E0386BC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5372DE">
        <w:rPr>
          <w:rFonts w:ascii="Garamond" w:hAnsi="Garamond"/>
          <w:b/>
          <w:bCs/>
          <w:sz w:val="24"/>
          <w:szCs w:val="24"/>
        </w:rPr>
        <w:t>.328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72DE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287F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2021-08-16T19:49:00Z</dcterms:created>
  <dcterms:modified xsi:type="dcterms:W3CDTF">2021-08-23T17:51:00Z</dcterms:modified>
</cp:coreProperties>
</file>