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1BC523FF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 w:rsidR="00D34CBC">
        <w:rPr>
          <w:rFonts w:cs="Calibri"/>
          <w:b/>
          <w:bCs/>
          <w:sz w:val="22"/>
          <w:lang w:eastAsia="zh-CN"/>
        </w:rPr>
        <w:t xml:space="preserve"> </w:t>
      </w:r>
      <w:r w:rsidR="00FE015D">
        <w:rPr>
          <w:rFonts w:cs="Calibri"/>
          <w:b/>
          <w:bCs/>
          <w:sz w:val="22"/>
          <w:lang w:eastAsia="zh-CN"/>
        </w:rPr>
        <w:t xml:space="preserve">274 </w:t>
      </w:r>
      <w:r w:rsidRPr="0036081B">
        <w:rPr>
          <w:rFonts w:cs="Calibri"/>
          <w:b/>
          <w:bCs/>
          <w:sz w:val="22"/>
          <w:lang w:eastAsia="zh-CN"/>
        </w:rPr>
        <w:t xml:space="preserve">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</w:r>
      <w:r w:rsidR="00D34CBC" w:rsidRPr="00D34CBC">
        <w:rPr>
          <w:rFonts w:eastAsia="Calibri" w:cs="Calibri"/>
          <w:i/>
          <w:sz w:val="22"/>
          <w:lang w:eastAsia="en-US"/>
        </w:rPr>
        <w:t>(Dz. U. z 2021 r. poz. 1129 ze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465EF825" w:rsidR="00972CEC" w:rsidRPr="00134BE9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4F2F08" w:rsidRPr="004F2F08">
        <w:rPr>
          <w:rFonts w:cs="Calibri"/>
          <w:b/>
          <w:sz w:val="22"/>
          <w:szCs w:val="24"/>
          <w:lang w:eastAsia="ar-SA"/>
        </w:rPr>
        <w:t>„Usuwanie zatorów, drzew powalonych przez bobry i wiatrołomów, wycinka drzew, na terenie działania Zarządu Zlewni w Sieradzu”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77777777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00A0844E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AD1E2E" w:rsidRPr="00AD1E2E">
      <w:rPr>
        <w:b/>
      </w:rPr>
      <w:t>PO.</w:t>
    </w:r>
    <w:r w:rsidR="0034783B" w:rsidRPr="005C1363">
      <w:rPr>
        <w:b/>
      </w:rPr>
      <w:t>ROZ.2810.</w:t>
    </w:r>
    <w:r w:rsidR="004F2F08">
      <w:rPr>
        <w:b/>
      </w:rPr>
      <w:t>90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1C981DE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F2F08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902EB"/>
    <w:rsid w:val="004F2F08"/>
    <w:rsid w:val="005356C9"/>
    <w:rsid w:val="005461FF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9E16FD"/>
    <w:rsid w:val="00A76313"/>
    <w:rsid w:val="00AD1E2E"/>
    <w:rsid w:val="00B5281C"/>
    <w:rsid w:val="00B7730C"/>
    <w:rsid w:val="00BC6703"/>
    <w:rsid w:val="00C14FDC"/>
    <w:rsid w:val="00CE64BE"/>
    <w:rsid w:val="00D34CBC"/>
    <w:rsid w:val="00E57E05"/>
    <w:rsid w:val="00EB002A"/>
    <w:rsid w:val="00ED5951"/>
    <w:rsid w:val="00F14800"/>
    <w:rsid w:val="00F8671C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2</cp:revision>
  <dcterms:created xsi:type="dcterms:W3CDTF">2021-11-30T10:34:00Z</dcterms:created>
  <dcterms:modified xsi:type="dcterms:W3CDTF">2021-11-30T10:34:00Z</dcterms:modified>
</cp:coreProperties>
</file>