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166FFB8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D60BF">
        <w:rPr>
          <w:rFonts w:asciiTheme="minorHAnsi" w:eastAsia="Times New Roman" w:hAnsiTheme="minorHAnsi" w:cstheme="minorHAnsi"/>
          <w:b/>
          <w:lang w:eastAsia="pl-PL"/>
        </w:rPr>
        <w:t>4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3B13FC81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8D60B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70FF82D" w14:textId="77777777" w:rsidR="002A637F" w:rsidRDefault="002A637F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2A637F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Ostrołęce</w:t>
      </w:r>
    </w:p>
    <w:p w14:paraId="529D94F8" w14:textId="0F4CBDE9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>CZĘŚĆ</w:t>
      </w:r>
      <w:r w:rsidRPr="00DE1BB6">
        <w:rPr>
          <w:rFonts w:asciiTheme="minorHAnsi" w:hAnsiTheme="minorHAnsi" w:cstheme="minorHAnsi"/>
          <w:b/>
          <w:sz w:val="22"/>
          <w:szCs w:val="22"/>
          <w:highlight w:val="lightGray"/>
          <w:shd w:val="clear" w:color="auto" w:fill="D9D9D9" w:themeFill="background1" w:themeFillShade="D9"/>
        </w:rPr>
        <w:t xml:space="preserve"> </w:t>
      </w:r>
      <w:r w:rsidR="008D60BF" w:rsidRPr="00DE1BB6"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t>4</w:t>
      </w:r>
    </w:p>
    <w:p w14:paraId="0569C57C" w14:textId="0F912006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00CB5">
        <w:rPr>
          <w:rFonts w:asciiTheme="minorHAnsi" w:eastAsia="Arial Unicode MS" w:hAnsiTheme="minorHAnsi" w:cstheme="minorHAnsi"/>
          <w:b/>
          <w:bCs/>
        </w:rPr>
        <w:t>5</w:t>
      </w:r>
      <w:r w:rsidR="002A637F">
        <w:rPr>
          <w:rFonts w:asciiTheme="minorHAnsi" w:eastAsia="Arial Unicode MS" w:hAnsiTheme="minorHAnsi" w:cstheme="minorHAnsi"/>
          <w:b/>
          <w:bCs/>
        </w:rPr>
        <w:t>9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2A637F">
        <w:rPr>
          <w:rFonts w:asciiTheme="minorHAnsi" w:eastAsia="Arial Unicode MS" w:hAnsiTheme="minorHAnsi" w:cstheme="minorHAnsi"/>
          <w:b/>
          <w:bCs/>
        </w:rPr>
        <w:t>MŁ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69D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69D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5569D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5569D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69D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69D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69D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69D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569D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569D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9D6">
        <w:rPr>
          <w:rFonts w:asciiTheme="minorHAnsi" w:hAnsiTheme="minorHAnsi" w:cstheme="minorHAnsi"/>
          <w:sz w:val="20"/>
          <w:szCs w:val="20"/>
        </w:rPr>
      </w:r>
      <w:r w:rsidR="005569D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6693" w14:textId="77777777" w:rsidR="005569D6" w:rsidRDefault="005569D6" w:rsidP="001F727C">
      <w:pPr>
        <w:spacing w:after="0" w:line="240" w:lineRule="auto"/>
      </w:pPr>
      <w:r>
        <w:separator/>
      </w:r>
    </w:p>
  </w:endnote>
  <w:endnote w:type="continuationSeparator" w:id="0">
    <w:p w14:paraId="4A1EFA93" w14:textId="77777777" w:rsidR="005569D6" w:rsidRDefault="005569D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5569D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92C3" w14:textId="77777777" w:rsidR="005569D6" w:rsidRDefault="005569D6" w:rsidP="001F727C">
      <w:pPr>
        <w:spacing w:after="0" w:line="240" w:lineRule="auto"/>
      </w:pPr>
      <w:r>
        <w:separator/>
      </w:r>
    </w:p>
  </w:footnote>
  <w:footnote w:type="continuationSeparator" w:id="0">
    <w:p w14:paraId="361CEF8D" w14:textId="77777777" w:rsidR="005569D6" w:rsidRDefault="005569D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3BCB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637F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CB4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69D6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1702"/>
    <w:rsid w:val="00636F45"/>
    <w:rsid w:val="00637247"/>
    <w:rsid w:val="00637313"/>
    <w:rsid w:val="00637336"/>
    <w:rsid w:val="00642E43"/>
    <w:rsid w:val="006463C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60BF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9E6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11A8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1BB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52</cp:revision>
  <cp:lastPrinted>2021-04-22T09:36:00Z</cp:lastPrinted>
  <dcterms:created xsi:type="dcterms:W3CDTF">2021-03-23T11:30:00Z</dcterms:created>
  <dcterms:modified xsi:type="dcterms:W3CDTF">2022-07-06T13:18:00Z</dcterms:modified>
</cp:coreProperties>
</file>