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ACD" w14:textId="77777777" w:rsidR="00A64516" w:rsidRDefault="00823B9F">
      <w:pPr>
        <w:spacing w:after="120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7C13B36C" wp14:editId="78F5E19F">
            <wp:extent cx="1885950" cy="51435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6" t="-1439" r="-396" b="-143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62EE" w14:textId="77777777" w:rsidR="00A64516" w:rsidRDefault="00A64516">
      <w:pPr>
        <w:rPr>
          <w:rFonts w:ascii="Calibri" w:hAnsi="Calibri" w:cs="Calibri"/>
          <w:b/>
          <w:i/>
          <w:sz w:val="32"/>
          <w:szCs w:val="32"/>
        </w:rPr>
      </w:pPr>
    </w:p>
    <w:p w14:paraId="3A6D10BD" w14:textId="77777777" w:rsidR="00A64516" w:rsidRDefault="00A64516">
      <w:pPr>
        <w:rPr>
          <w:rFonts w:ascii="Calibri" w:hAnsi="Calibri" w:cs="Calibri"/>
          <w:b/>
          <w:i/>
          <w:sz w:val="32"/>
          <w:szCs w:val="32"/>
        </w:rPr>
      </w:pPr>
    </w:p>
    <w:p w14:paraId="0527F90E" w14:textId="77777777" w:rsidR="00A64516" w:rsidRDefault="00A64516">
      <w:pPr>
        <w:rPr>
          <w:rFonts w:ascii="Calibri" w:hAnsi="Calibri" w:cs="Calibri"/>
          <w:b/>
          <w:i/>
          <w:sz w:val="32"/>
          <w:szCs w:val="32"/>
        </w:rPr>
      </w:pPr>
    </w:p>
    <w:p w14:paraId="698A521E" w14:textId="77777777" w:rsidR="00A64516" w:rsidRDefault="00A64516">
      <w:pPr>
        <w:rPr>
          <w:rFonts w:ascii="Calibri" w:hAnsi="Calibri" w:cs="Calibri"/>
          <w:b/>
          <w:i/>
          <w:sz w:val="32"/>
          <w:szCs w:val="32"/>
        </w:rPr>
      </w:pPr>
    </w:p>
    <w:p w14:paraId="7A7D4666" w14:textId="77777777" w:rsidR="00A64516" w:rsidRDefault="00823B9F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OPIS PRZEDMIOTU ZAMÓWIENIA</w:t>
      </w:r>
    </w:p>
    <w:p w14:paraId="3302C0C6" w14:textId="77777777" w:rsidR="00A64516" w:rsidRDefault="00A64516">
      <w:pPr>
        <w:spacing w:line="360" w:lineRule="auto"/>
        <w:jc w:val="center"/>
        <w:rPr>
          <w:i/>
          <w:sz w:val="24"/>
          <w:szCs w:val="24"/>
          <w:u w:val="single"/>
        </w:rPr>
      </w:pPr>
    </w:p>
    <w:p w14:paraId="0BAA4061" w14:textId="77777777" w:rsidR="00A64516" w:rsidRDefault="00823B9F">
      <w:pPr>
        <w:spacing w:line="360" w:lineRule="auto"/>
        <w:jc w:val="center"/>
        <w:rPr>
          <w:rFonts w:ascii="Calibri" w:hAnsi="Calibri" w:cs="Calibri"/>
          <w:i/>
          <w:sz w:val="32"/>
          <w:szCs w:val="32"/>
          <w:u w:val="single"/>
        </w:rPr>
      </w:pPr>
      <w:r>
        <w:rPr>
          <w:i/>
          <w:sz w:val="24"/>
          <w:szCs w:val="24"/>
          <w:u w:val="single"/>
        </w:rPr>
        <w:t>Nazwa zadania:</w:t>
      </w:r>
    </w:p>
    <w:p w14:paraId="1D74718D" w14:textId="55AB6602" w:rsidR="00A64516" w:rsidRDefault="000141B4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141B4">
        <w:rPr>
          <w:b/>
          <w:bCs/>
          <w:i/>
          <w:iCs/>
          <w:sz w:val="32"/>
          <w:szCs w:val="32"/>
        </w:rPr>
        <w:t>„Poprawa retencyjności zlewni Strugi Gołanieckiej”</w:t>
      </w:r>
    </w:p>
    <w:p w14:paraId="1734FD6D" w14:textId="77777777" w:rsidR="00A64516" w:rsidRDefault="00A64516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6EAF1D9" w14:textId="77777777" w:rsidR="00A64516" w:rsidRDefault="00A64516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5E4CF4F6" w14:textId="77777777" w:rsidR="00A64516" w:rsidRDefault="00A64516">
      <w:pPr>
        <w:spacing w:after="0"/>
        <w:rPr>
          <w:rFonts w:ascii="Calibri" w:hAnsi="Calibri" w:cs="Calibri"/>
          <w:i/>
          <w:u w:val="single"/>
        </w:rPr>
      </w:pPr>
    </w:p>
    <w:p w14:paraId="1414DBA4" w14:textId="77777777" w:rsidR="00A64516" w:rsidRDefault="00A64516">
      <w:pPr>
        <w:spacing w:after="0"/>
        <w:jc w:val="both"/>
        <w:rPr>
          <w:rFonts w:ascii="Calibri" w:hAnsi="Calibri" w:cs="Calibri"/>
          <w:i/>
        </w:rPr>
      </w:pPr>
    </w:p>
    <w:p w14:paraId="2D1A05A3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5A56FAAE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55DBD574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6D98A0B9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135AD464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1E92CB7C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00950EA5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715F8510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7880AEB2" w14:textId="77777777" w:rsidR="000141B4" w:rsidRDefault="000141B4">
      <w:pPr>
        <w:spacing w:after="0"/>
        <w:jc w:val="both"/>
        <w:rPr>
          <w:rFonts w:ascii="Calibri" w:hAnsi="Calibri" w:cs="Calibri"/>
          <w:i/>
        </w:rPr>
      </w:pPr>
    </w:p>
    <w:p w14:paraId="7F3ADF31" w14:textId="77777777" w:rsidR="00A64516" w:rsidRDefault="00A64516">
      <w:pPr>
        <w:jc w:val="center"/>
        <w:rPr>
          <w:rFonts w:ascii="Calibri" w:hAnsi="Calibri" w:cs="Calibri"/>
          <w:b/>
          <w:i/>
        </w:rPr>
      </w:pPr>
    </w:p>
    <w:p w14:paraId="109158FC" w14:textId="77777777" w:rsidR="00A64516" w:rsidRDefault="00A64516">
      <w:pPr>
        <w:jc w:val="center"/>
        <w:rPr>
          <w:rFonts w:ascii="Calibri" w:hAnsi="Calibri" w:cs="Calibri"/>
          <w:b/>
          <w:i/>
        </w:rPr>
      </w:pPr>
    </w:p>
    <w:p w14:paraId="330F6A87" w14:textId="77777777" w:rsidR="00A64516" w:rsidRDefault="00A64516">
      <w:pPr>
        <w:jc w:val="center"/>
        <w:rPr>
          <w:rFonts w:ascii="Calibri" w:hAnsi="Calibri" w:cs="Calibri"/>
          <w:b/>
          <w:i/>
        </w:rPr>
      </w:pPr>
    </w:p>
    <w:p w14:paraId="7176929C" w14:textId="77777777" w:rsidR="00A64516" w:rsidRDefault="00823B9F">
      <w:pPr>
        <w:spacing w:after="0"/>
        <w:rPr>
          <w:rFonts w:ascii="Calibri" w:hAnsi="Calibri" w:cs="Calibri"/>
          <w:i/>
        </w:rPr>
      </w:pPr>
      <w:r>
        <w:rPr>
          <w:rFonts w:cs="Calibri"/>
          <w:i/>
        </w:rPr>
        <w:t xml:space="preserve">Sporządzający: </w:t>
      </w:r>
    </w:p>
    <w:p w14:paraId="6CE35524" w14:textId="77777777" w:rsidR="00A64516" w:rsidRDefault="00A64516">
      <w:pPr>
        <w:jc w:val="center"/>
        <w:rPr>
          <w:rFonts w:ascii="Calibri" w:hAnsi="Calibri" w:cs="Calibri"/>
          <w:b/>
          <w:i/>
        </w:rPr>
      </w:pPr>
    </w:p>
    <w:p w14:paraId="68464AA0" w14:textId="77777777" w:rsidR="00A64516" w:rsidRDefault="00A64516">
      <w:pPr>
        <w:jc w:val="center"/>
        <w:rPr>
          <w:rFonts w:ascii="Calibri" w:hAnsi="Calibri" w:cs="Calibri"/>
          <w:b/>
          <w:i/>
        </w:rPr>
      </w:pPr>
    </w:p>
    <w:p w14:paraId="6BA9C266" w14:textId="238B29D7" w:rsidR="00A64516" w:rsidRDefault="000141B4">
      <w:pPr>
        <w:jc w:val="center"/>
        <w:rPr>
          <w:rFonts w:ascii="Calibri" w:hAnsi="Calibri" w:cs="Calibri"/>
          <w:i/>
        </w:rPr>
      </w:pPr>
      <w:r>
        <w:rPr>
          <w:rFonts w:cs="Calibri"/>
          <w:i/>
        </w:rPr>
        <w:t xml:space="preserve">Maj </w:t>
      </w:r>
      <w:r w:rsidR="00823B9F">
        <w:rPr>
          <w:rFonts w:cs="Calibri"/>
          <w:i/>
        </w:rPr>
        <w:t>2022r.</w:t>
      </w:r>
    </w:p>
    <w:p w14:paraId="6A93C0EF" w14:textId="77777777" w:rsidR="00A64516" w:rsidRDefault="00A64516">
      <w:pPr>
        <w:jc w:val="center"/>
        <w:rPr>
          <w:rFonts w:ascii="Calibri" w:hAnsi="Calibri" w:cs="Calibri"/>
          <w:b/>
          <w:i/>
          <w:color w:val="FF0000"/>
        </w:rPr>
      </w:pPr>
    </w:p>
    <w:p w14:paraId="415D70A8" w14:textId="77777777" w:rsidR="00A64516" w:rsidRDefault="00A64516">
      <w:pPr>
        <w:jc w:val="center"/>
        <w:rPr>
          <w:rFonts w:ascii="Calibri" w:hAnsi="Calibri" w:cs="Calibri"/>
          <w:b/>
          <w:i/>
          <w:color w:val="FF0000"/>
        </w:rPr>
      </w:pPr>
    </w:p>
    <w:p w14:paraId="38B7C316" w14:textId="77777777" w:rsidR="00A64516" w:rsidRDefault="00A64516">
      <w:pPr>
        <w:jc w:val="center"/>
      </w:pPr>
      <w:bookmarkStart w:id="0" w:name="_Toc351626122"/>
      <w:bookmarkEnd w:id="0"/>
    </w:p>
    <w:p w14:paraId="7CC3E59A" w14:textId="77777777" w:rsidR="00A64516" w:rsidRDefault="00823B9F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="Calibri" w:hAnsi="Calibri" w:cs="Calibri"/>
          <w:b/>
        </w:rPr>
      </w:pPr>
      <w:r>
        <w:rPr>
          <w:rFonts w:cs="Calibri"/>
          <w:b/>
        </w:rPr>
        <w:lastRenderedPageBreak/>
        <w:t>Przedmiot zamówienia.</w:t>
      </w:r>
    </w:p>
    <w:p w14:paraId="024C3125" w14:textId="0E4297BD" w:rsidR="00A64516" w:rsidRDefault="00823B9F" w:rsidP="000141B4">
      <w:pPr>
        <w:spacing w:after="120"/>
        <w:jc w:val="both"/>
        <w:rPr>
          <w:b/>
          <w:bCs/>
          <w:i/>
          <w:iCs/>
          <w:color w:val="000000" w:themeColor="text1"/>
        </w:rPr>
      </w:pPr>
      <w:r>
        <w:rPr>
          <w:rFonts w:cstheme="minorHAnsi"/>
        </w:rPr>
        <w:t xml:space="preserve">Przedmiotem niniejszego zamówienia stanowi wykonanie </w:t>
      </w:r>
      <w:r>
        <w:rPr>
          <w:rFonts w:cstheme="minorHAnsi"/>
          <w:color w:val="000000" w:themeColor="text1"/>
        </w:rPr>
        <w:t>dokumentacji wraz z uzyskaniem niezbędnych decyzji</w:t>
      </w:r>
      <w:r>
        <w:rPr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w ramach zadania pn. </w:t>
      </w:r>
      <w:r>
        <w:rPr>
          <w:rFonts w:cstheme="minorHAnsi"/>
          <w:b/>
          <w:bCs/>
          <w:color w:val="000000" w:themeColor="text1"/>
        </w:rPr>
        <w:t>„</w:t>
      </w:r>
      <w:r w:rsidR="000141B4" w:rsidRPr="000141B4">
        <w:rPr>
          <w:b/>
          <w:bCs/>
          <w:i/>
          <w:iCs/>
          <w:color w:val="000000" w:themeColor="text1"/>
        </w:rPr>
        <w:t>Poprawa retencyjności zlewni Strugi Gołanieckiej”</w:t>
      </w:r>
      <w:bookmarkStart w:id="1" w:name="_Hlk100826821"/>
      <w:bookmarkEnd w:id="1"/>
    </w:p>
    <w:p w14:paraId="355E934A" w14:textId="16765EE5" w:rsidR="000141B4" w:rsidRPr="000141B4" w:rsidRDefault="000141B4">
      <w:pPr>
        <w:spacing w:after="0"/>
        <w:jc w:val="both"/>
        <w:rPr>
          <w:bCs/>
          <w:iCs/>
          <w:color w:val="000000" w:themeColor="text1"/>
        </w:rPr>
      </w:pPr>
      <w:r w:rsidRPr="000141B4">
        <w:rPr>
          <w:bCs/>
          <w:iCs/>
          <w:color w:val="000000" w:themeColor="text1"/>
        </w:rPr>
        <w:t>Planowane przedsięwzięcie ma na celu uzyskanie jak największej retencji jeziorno-korytowej, która przyczyni się do polepszenia warunków wodno-gruntowych na przyległych terenach, przeciwdziałając zjawiskom suszy. W tym celu planuję się wybudować 7 urządzeń piętrzących. Pięć z nich będzie piętrzyć wody 5 jezior zlokalizowanych na rzece Struga Gołaniecka (4 urządzenia) i Kanale Wapno-Laskownica (1 urządzenie). Dwa pozostałe urządzenia piętrzące zlokalizowane będą na rzece Struga Gołaniecka i będą służyły do uzyskania retencji korytowej.</w:t>
      </w:r>
    </w:p>
    <w:p w14:paraId="40061702" w14:textId="77777777" w:rsidR="00A64516" w:rsidRDefault="00A64516">
      <w:pPr>
        <w:tabs>
          <w:tab w:val="left" w:pos="567"/>
          <w:tab w:val="left" w:pos="851"/>
        </w:tabs>
        <w:spacing w:after="0"/>
        <w:ind w:left="992" w:hanging="284"/>
        <w:jc w:val="both"/>
        <w:rPr>
          <w:rFonts w:ascii="Calibri" w:eastAsia="Times New Roman" w:hAnsi="Calibri" w:cs="Calibri"/>
          <w:bCs/>
          <w:iCs/>
          <w:color w:val="000000" w:themeColor="text1"/>
        </w:rPr>
      </w:pPr>
    </w:p>
    <w:p w14:paraId="44AD74E8" w14:textId="77777777" w:rsidR="00A64516" w:rsidRDefault="00823B9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tego zadania przewiduje się do wykonania następujący zakres prac i robót stanowiących przedmiot zamówienia: </w:t>
      </w:r>
    </w:p>
    <w:p w14:paraId="4D6AB635" w14:textId="77777777" w:rsidR="00A64516" w:rsidRDefault="00823B9F">
      <w:pPr>
        <w:pStyle w:val="Akapitzlist"/>
        <w:numPr>
          <w:ilvl w:val="0"/>
          <w:numId w:val="12"/>
        </w:numPr>
        <w:ind w:left="284" w:hanging="284"/>
        <w:jc w:val="both"/>
        <w:rPr>
          <w:rFonts w:cstheme="minorHAnsi"/>
          <w:color w:val="000000" w:themeColor="text1"/>
        </w:rPr>
      </w:pPr>
      <w:r>
        <w:rPr>
          <w:b/>
          <w:bCs/>
          <w:color w:val="000000" w:themeColor="text1"/>
        </w:rPr>
        <w:t>Badania i opracowania przedprojektowe</w:t>
      </w:r>
      <w:r>
        <w:rPr>
          <w:color w:val="000000" w:themeColor="text1"/>
        </w:rPr>
        <w:t>, a w ich ramach w szczególności:</w:t>
      </w:r>
    </w:p>
    <w:p w14:paraId="0A34748D" w14:textId="1CE790C9" w:rsidR="000141B4" w:rsidRDefault="000141B4" w:rsidP="000141B4">
      <w:pPr>
        <w:jc w:val="both"/>
      </w:pPr>
      <w:r>
        <w:t xml:space="preserve">Wykonanie koncepcji programowo-przestrzennej – analizy możliwości podpiętrzenia 5 jezior (poprzez budowę 5 zastawek/jazów) oraz wykonania 2 zastawek/jazów w korycie rzeki w celu określenia maksymalnej do uzyskania wielkości retencji, konkretnej lokalizacji budowli, określenia rodzaju budowli (zastawka, jaz), ilości zajętych terenów w wyniku podpiętrzenia jezior. Orientacyjne lokalizacje budowli podano w pkt 2. Wykonawca wykonując dokumentację projektową w przedmiotowym zakresie dokona stosownych analiz w szczególności w następującym zakresie: </w:t>
      </w:r>
    </w:p>
    <w:p w14:paraId="1967FFF8" w14:textId="79A934E9" w:rsidR="000141B4" w:rsidRDefault="000141B4" w:rsidP="00087718">
      <w:pPr>
        <w:pStyle w:val="Akapitzlist"/>
        <w:numPr>
          <w:ilvl w:val="0"/>
          <w:numId w:val="28"/>
        </w:numPr>
        <w:ind w:left="567" w:hanging="425"/>
        <w:jc w:val="both"/>
      </w:pPr>
      <w:r>
        <w:t xml:space="preserve">analizy możliwości piętrzenia i ustali maksymalny bezpieczny poziom piętrzenia dla projektowanej budowli w oparciu o możliwości retencyjne jezior przy określeniu zasięgu oddziaływania spiętrzonej wody na tereny przyległe nie będące w posiadaniu PGW WP.  </w:t>
      </w:r>
    </w:p>
    <w:p w14:paraId="45D39028" w14:textId="27B8C7EB" w:rsidR="000141B4" w:rsidRDefault="000141B4" w:rsidP="00087718">
      <w:pPr>
        <w:pStyle w:val="Akapitzlist"/>
        <w:numPr>
          <w:ilvl w:val="0"/>
          <w:numId w:val="28"/>
        </w:numPr>
        <w:ind w:left="567" w:hanging="425"/>
        <w:jc w:val="both"/>
      </w:pPr>
      <w:r>
        <w:t xml:space="preserve">analizy i obliczeń hydrologicznych wraz ze sporządzeniem bilansu wodnego, oceny oddziaływania na grunty sąsiednie,  charakterystyki użytkowania terenów przyległych do jeziora z uwzględnieniem planów zagospodarowania przestrzennego oraz charakterystyki sieci hydrograficznej oddziaływującej na jezioro. </w:t>
      </w:r>
    </w:p>
    <w:p w14:paraId="604E17CF" w14:textId="76DA5CF5" w:rsidR="000141B4" w:rsidRDefault="000141B4" w:rsidP="00087718">
      <w:pPr>
        <w:pStyle w:val="Akapitzlist"/>
        <w:numPr>
          <w:ilvl w:val="0"/>
          <w:numId w:val="28"/>
        </w:numPr>
        <w:ind w:left="567" w:hanging="425"/>
        <w:jc w:val="both"/>
      </w:pPr>
      <w:r>
        <w:t xml:space="preserve">pomiarów geodezyjnych,  sytuacyjno-wysokościowych powiązanego z granicami działki/działek ewidencyjnych jeziora oraz liniowego w zakresie niezbędnym do wykonania projektu, </w:t>
      </w:r>
    </w:p>
    <w:p w14:paraId="2EF452C4" w14:textId="322D13FF" w:rsidR="000141B4" w:rsidRDefault="000141B4" w:rsidP="00087718">
      <w:pPr>
        <w:pStyle w:val="Akapitzlist"/>
        <w:numPr>
          <w:ilvl w:val="0"/>
          <w:numId w:val="28"/>
        </w:numPr>
        <w:ind w:left="567" w:hanging="425"/>
        <w:jc w:val="both"/>
      </w:pPr>
      <w:r>
        <w:t>analizy konieczności podniesienia poziomu terenu w wybranych miejscach chroniących przed zalaniem.</w:t>
      </w:r>
    </w:p>
    <w:p w14:paraId="6E17F8A0" w14:textId="0664F42F" w:rsidR="000141B4" w:rsidRDefault="000141B4" w:rsidP="00087718">
      <w:pPr>
        <w:pStyle w:val="Akapitzlist"/>
        <w:numPr>
          <w:ilvl w:val="0"/>
          <w:numId w:val="28"/>
        </w:numPr>
        <w:ind w:left="567" w:hanging="425"/>
        <w:jc w:val="both"/>
      </w:pPr>
      <w:r>
        <w:t>koncepcji budowy jazu/zastawki piętrzącej dla każdej z lokalizacji,</w:t>
      </w:r>
    </w:p>
    <w:p w14:paraId="6E928638" w14:textId="69F85AAE" w:rsidR="00A64516" w:rsidRDefault="000141B4" w:rsidP="00087718">
      <w:pPr>
        <w:pStyle w:val="Akapitzlist"/>
        <w:numPr>
          <w:ilvl w:val="0"/>
          <w:numId w:val="28"/>
        </w:numPr>
        <w:spacing w:after="120" w:line="240" w:lineRule="auto"/>
        <w:ind w:left="567" w:hanging="425"/>
        <w:contextualSpacing w:val="0"/>
        <w:jc w:val="both"/>
      </w:pPr>
      <w:r>
        <w:t xml:space="preserve">wykonawca powinien uwzględnić wysokie prawdopodobieństwo wykonania podziałów działek oraz wyznaczenia linii brzegowej rzeki i </w:t>
      </w:r>
      <w:proofErr w:type="spellStart"/>
      <w:r>
        <w:t>podpiętrzanych</w:t>
      </w:r>
      <w:proofErr w:type="spellEnd"/>
      <w:r>
        <w:t xml:space="preserve"> jezior.</w:t>
      </w:r>
    </w:p>
    <w:p w14:paraId="06340E94" w14:textId="77777777" w:rsidR="00A64516" w:rsidRDefault="00823B9F">
      <w:pPr>
        <w:pStyle w:val="Akapitzlist"/>
        <w:numPr>
          <w:ilvl w:val="0"/>
          <w:numId w:val="12"/>
        </w:numPr>
        <w:ind w:left="284" w:hanging="284"/>
        <w:jc w:val="both"/>
      </w:pPr>
      <w:r>
        <w:rPr>
          <w:b/>
          <w:bCs/>
        </w:rPr>
        <w:t>Prace i opracowania projektowe</w:t>
      </w:r>
      <w:r>
        <w:t xml:space="preserve">, a w ich ramach w szczególności: </w:t>
      </w:r>
      <w:bookmarkStart w:id="2" w:name="_Hlk100842474"/>
      <w:bookmarkEnd w:id="2"/>
    </w:p>
    <w:p w14:paraId="553CF5EC" w14:textId="77777777" w:rsidR="0066070F" w:rsidRPr="001F65CA" w:rsidRDefault="0066070F" w:rsidP="0066070F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F65CA">
        <w:rPr>
          <w:rFonts w:asciiTheme="minorHAnsi" w:hAnsiTheme="minorHAnsi" w:cstheme="minorHAnsi"/>
          <w:sz w:val="22"/>
          <w:szCs w:val="22"/>
        </w:rPr>
        <w:t xml:space="preserve">Wykonanie prac projektowych, polegających na zaprojektowaniu budowy siedmiu zastawek (jazów) (nowe budowle) na rzece Struga Gołaniecka (6 szt.) i na Kanale Wapno-Laskownica (1 szt.) w lokalizacji poniżej (współrzędne X Y w układzie 92): </w:t>
      </w:r>
    </w:p>
    <w:p w14:paraId="09EB9D27" w14:textId="77777777" w:rsidR="0066070F" w:rsidRPr="001F65CA" w:rsidRDefault="0066070F" w:rsidP="0066070F">
      <w:pPr>
        <w:pStyle w:val="Zwykytekst"/>
        <w:spacing w:before="120" w:after="120"/>
        <w:ind w:left="360"/>
        <w:jc w:val="both"/>
        <w:rPr>
          <w:rFonts w:asciiTheme="minorHAnsi" w:hAnsiTheme="minorHAnsi" w:cstheme="minorHAnsi"/>
          <w:b/>
          <w:i/>
          <w:szCs w:val="22"/>
        </w:rPr>
      </w:pPr>
      <w:r w:rsidRPr="001F65CA">
        <w:rPr>
          <w:rFonts w:asciiTheme="minorHAnsi" w:hAnsiTheme="minorHAnsi" w:cstheme="minorHAnsi"/>
          <w:b/>
          <w:i/>
          <w:szCs w:val="22"/>
        </w:rPr>
        <w:t>rz. Struga Gołaniecka</w:t>
      </w:r>
    </w:p>
    <w:p w14:paraId="2EF8A3DB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X: 564972,9</w:t>
      </w:r>
      <w:r w:rsidRPr="001F65CA">
        <w:rPr>
          <w:rFonts w:asciiTheme="minorHAnsi" w:hAnsiTheme="minorHAnsi" w:cstheme="minorHAnsi"/>
          <w:szCs w:val="22"/>
        </w:rPr>
        <w:tab/>
        <w:t xml:space="preserve">Y: 385038,3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– zastawka/jaz </w:t>
      </w:r>
    </w:p>
    <w:p w14:paraId="13B2D55D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X: 563848,64</w:t>
      </w:r>
      <w:r w:rsidRPr="001F65CA">
        <w:rPr>
          <w:rFonts w:asciiTheme="minorHAnsi" w:hAnsiTheme="minorHAnsi" w:cstheme="minorHAnsi"/>
          <w:szCs w:val="22"/>
        </w:rPr>
        <w:tab/>
        <w:t xml:space="preserve">Y: 384292,97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 </w:t>
      </w:r>
    </w:p>
    <w:p w14:paraId="4EB00B3B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X: 561893.2</w:t>
      </w:r>
      <w:r w:rsidRPr="001F65CA">
        <w:rPr>
          <w:rFonts w:asciiTheme="minorHAnsi" w:hAnsiTheme="minorHAnsi" w:cstheme="minorHAnsi"/>
          <w:szCs w:val="22"/>
        </w:rPr>
        <w:tab/>
        <w:t xml:space="preserve">Y: 383018.9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zastawka/jaz, Jez. </w:t>
      </w:r>
      <w:proofErr w:type="spellStart"/>
      <w:r w:rsidRPr="001F65CA">
        <w:rPr>
          <w:rFonts w:asciiTheme="minorHAnsi" w:hAnsiTheme="minorHAnsi" w:cstheme="minorHAnsi"/>
          <w:szCs w:val="22"/>
        </w:rPr>
        <w:t>Laskownickie</w:t>
      </w:r>
      <w:proofErr w:type="spellEnd"/>
    </w:p>
    <w:p w14:paraId="52ABA3FC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lastRenderedPageBreak/>
        <w:t>X: 558185,8</w:t>
      </w:r>
      <w:r w:rsidRPr="001F65CA">
        <w:rPr>
          <w:rFonts w:asciiTheme="minorHAnsi" w:hAnsiTheme="minorHAnsi" w:cstheme="minorHAnsi"/>
          <w:szCs w:val="22"/>
        </w:rPr>
        <w:tab/>
        <w:t xml:space="preserve">Y: 381110,3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zastawka/jaz, Jez. </w:t>
      </w:r>
      <w:proofErr w:type="spellStart"/>
      <w:r w:rsidRPr="001F65CA">
        <w:rPr>
          <w:rFonts w:asciiTheme="minorHAnsi" w:hAnsiTheme="minorHAnsi" w:cstheme="minorHAnsi"/>
          <w:szCs w:val="22"/>
        </w:rPr>
        <w:t>Grylewskie</w:t>
      </w:r>
      <w:proofErr w:type="spellEnd"/>
    </w:p>
    <w:p w14:paraId="1DBED450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 xml:space="preserve">X: 554725.6 </w:t>
      </w:r>
      <w:r w:rsidRPr="001F65CA">
        <w:rPr>
          <w:rFonts w:asciiTheme="minorHAnsi" w:hAnsiTheme="minorHAnsi" w:cstheme="minorHAnsi"/>
          <w:szCs w:val="22"/>
        </w:rPr>
        <w:tab/>
        <w:t xml:space="preserve">Y:379393.9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zastawka/jaz, Jez. </w:t>
      </w:r>
      <w:proofErr w:type="spellStart"/>
      <w:r w:rsidRPr="001F65CA">
        <w:rPr>
          <w:rFonts w:asciiTheme="minorHAnsi" w:hAnsiTheme="minorHAnsi" w:cstheme="minorHAnsi"/>
          <w:szCs w:val="22"/>
        </w:rPr>
        <w:t>Kobyleckie</w:t>
      </w:r>
      <w:proofErr w:type="spellEnd"/>
    </w:p>
    <w:p w14:paraId="3CE3CBC4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X: 550733.5</w:t>
      </w:r>
      <w:r w:rsidRPr="001F65CA">
        <w:rPr>
          <w:rFonts w:asciiTheme="minorHAnsi" w:hAnsiTheme="minorHAnsi" w:cstheme="minorHAnsi"/>
          <w:szCs w:val="22"/>
        </w:rPr>
        <w:tab/>
        <w:t xml:space="preserve">Y: 378241.9 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zastawka/jaz, Jez. </w:t>
      </w:r>
      <w:proofErr w:type="spellStart"/>
      <w:r w:rsidRPr="001F65CA">
        <w:rPr>
          <w:rFonts w:asciiTheme="minorHAnsi" w:hAnsiTheme="minorHAnsi" w:cstheme="minorHAnsi"/>
          <w:szCs w:val="22"/>
        </w:rPr>
        <w:t>Durowskie</w:t>
      </w:r>
      <w:proofErr w:type="spellEnd"/>
    </w:p>
    <w:p w14:paraId="0A0CFBB8" w14:textId="77777777" w:rsidR="0066070F" w:rsidRPr="001F65CA" w:rsidRDefault="0066070F" w:rsidP="0066070F">
      <w:pPr>
        <w:pStyle w:val="Zwykytekst"/>
        <w:spacing w:before="120" w:after="120"/>
        <w:ind w:left="360"/>
        <w:jc w:val="both"/>
        <w:rPr>
          <w:rFonts w:asciiTheme="minorHAnsi" w:hAnsiTheme="minorHAnsi" w:cstheme="minorHAnsi"/>
          <w:b/>
          <w:i/>
          <w:szCs w:val="22"/>
        </w:rPr>
      </w:pPr>
      <w:r w:rsidRPr="001F65CA">
        <w:rPr>
          <w:rFonts w:asciiTheme="minorHAnsi" w:hAnsiTheme="minorHAnsi" w:cstheme="minorHAnsi"/>
          <w:b/>
          <w:i/>
          <w:szCs w:val="22"/>
        </w:rPr>
        <w:t>rz. Kanał Wapno-Laskownica</w:t>
      </w:r>
    </w:p>
    <w:p w14:paraId="2F216955" w14:textId="77777777" w:rsidR="0066070F" w:rsidRPr="001F65CA" w:rsidRDefault="0066070F" w:rsidP="0066070F">
      <w:pPr>
        <w:pStyle w:val="Zwykytekst"/>
        <w:numPr>
          <w:ilvl w:val="0"/>
          <w:numId w:val="30"/>
        </w:numPr>
        <w:spacing w:before="120" w:after="120"/>
        <w:ind w:left="72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X: 559777,5</w:t>
      </w:r>
      <w:r w:rsidRPr="001F65CA">
        <w:rPr>
          <w:rFonts w:asciiTheme="minorHAnsi" w:hAnsiTheme="minorHAnsi" w:cstheme="minorHAnsi"/>
          <w:szCs w:val="22"/>
        </w:rPr>
        <w:tab/>
        <w:t>Y: 388813,9</w:t>
      </w:r>
      <w:r>
        <w:rPr>
          <w:rFonts w:asciiTheme="minorHAnsi" w:hAnsiTheme="minorHAnsi" w:cstheme="minorHAnsi"/>
          <w:szCs w:val="22"/>
        </w:rPr>
        <w:tab/>
      </w:r>
      <w:r w:rsidRPr="001F65CA">
        <w:rPr>
          <w:rFonts w:asciiTheme="minorHAnsi" w:hAnsiTheme="minorHAnsi" w:cstheme="minorHAnsi"/>
          <w:szCs w:val="22"/>
        </w:rPr>
        <w:t xml:space="preserve">- zastawka/jaz, Jez. </w:t>
      </w:r>
      <w:proofErr w:type="spellStart"/>
      <w:r w:rsidRPr="001F65CA">
        <w:rPr>
          <w:rFonts w:asciiTheme="minorHAnsi" w:hAnsiTheme="minorHAnsi" w:cstheme="minorHAnsi"/>
          <w:szCs w:val="22"/>
        </w:rPr>
        <w:t>Czeszewskie</w:t>
      </w:r>
      <w:proofErr w:type="spellEnd"/>
    </w:p>
    <w:p w14:paraId="65B352BA" w14:textId="49CC37E2" w:rsidR="004F540B" w:rsidRPr="001F65CA" w:rsidRDefault="004F540B" w:rsidP="004F540B">
      <w:pPr>
        <w:pStyle w:val="Zwykytekst"/>
        <w:spacing w:after="120"/>
        <w:ind w:left="360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 xml:space="preserve">Przedmiot zamówienia </w:t>
      </w:r>
      <w:r>
        <w:rPr>
          <w:rFonts w:asciiTheme="minorHAnsi" w:hAnsiTheme="minorHAnsi" w:cstheme="minorHAnsi"/>
          <w:szCs w:val="22"/>
        </w:rPr>
        <w:t>zlecenia</w:t>
      </w:r>
      <w:r w:rsidRPr="001F65C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realizacji </w:t>
      </w:r>
      <w:r w:rsidRPr="001F65CA">
        <w:rPr>
          <w:rFonts w:asciiTheme="minorHAnsi" w:hAnsiTheme="minorHAnsi" w:cstheme="minorHAnsi"/>
          <w:szCs w:val="22"/>
        </w:rPr>
        <w:t>prac projektowych obejmuje wykonanie</w:t>
      </w:r>
      <w:r w:rsidR="007D4782">
        <w:rPr>
          <w:rFonts w:asciiTheme="minorHAnsi" w:hAnsiTheme="minorHAnsi" w:cstheme="minorHAnsi"/>
          <w:szCs w:val="22"/>
        </w:rPr>
        <w:t xml:space="preserve"> kompletnej dokumentacji projektowej wraz z uzyskaniem niezbędnych decyzji administracyjnych, uzgodnień, pozwoleń, itp., m. in.</w:t>
      </w:r>
      <w:r w:rsidRPr="001F65CA">
        <w:rPr>
          <w:rFonts w:asciiTheme="minorHAnsi" w:hAnsiTheme="minorHAnsi" w:cstheme="minorHAnsi"/>
          <w:szCs w:val="22"/>
        </w:rPr>
        <w:t>:</w:t>
      </w:r>
    </w:p>
    <w:p w14:paraId="2B7993E5" w14:textId="3CA2FEFE" w:rsidR="004F540B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projektu budowlanego,</w:t>
      </w:r>
    </w:p>
    <w:p w14:paraId="56166B75" w14:textId="382119EE" w:rsidR="009E03AB" w:rsidRPr="001F65CA" w:rsidRDefault="009E03A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instrukcję gospodarowania wodą – jeśli wymagana,</w:t>
      </w:r>
    </w:p>
    <w:p w14:paraId="722B885D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projektu wykonawczego,</w:t>
      </w:r>
    </w:p>
    <w:p w14:paraId="0B1B3F44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uzgodnień branżowych,</w:t>
      </w:r>
    </w:p>
    <w:p w14:paraId="2F56C156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uzyskania </w:t>
      </w:r>
      <w:r w:rsidRPr="001F65CA">
        <w:rPr>
          <w:rFonts w:asciiTheme="minorHAnsi" w:hAnsiTheme="minorHAnsi" w:cstheme="minorHAnsi"/>
          <w:szCs w:val="22"/>
        </w:rPr>
        <w:t>decyzji lokalizacyjnej</w:t>
      </w:r>
      <w:r>
        <w:rPr>
          <w:rFonts w:asciiTheme="minorHAnsi" w:hAnsiTheme="minorHAnsi" w:cstheme="minorHAnsi"/>
          <w:szCs w:val="22"/>
        </w:rPr>
        <w:t>,</w:t>
      </w:r>
    </w:p>
    <w:p w14:paraId="2E43CB79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operatu wodnoprawnego wraz z wystąpieniem z wnioskiem o uzyskanie decyzji pozwolenia wodnoprawnego do właściwego organu administracyjnego,</w:t>
      </w:r>
    </w:p>
    <w:p w14:paraId="79E1A284" w14:textId="77777777" w:rsidR="004F540B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karty informacyjnej przedsięwzięcia wraz z wystąpieniem z wnioskiem o uzyskanie decyzji środowiskowej do właściwego organu administracyjnego,</w:t>
      </w:r>
    </w:p>
    <w:p w14:paraId="3A88ACE0" w14:textId="42939E51" w:rsidR="007D4782" w:rsidRPr="001F65CA" w:rsidRDefault="007D4782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uzyskanie pozwolenia na budowę,</w:t>
      </w:r>
    </w:p>
    <w:p w14:paraId="60249FAE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operatu dendrologicznego, wraz z wystąpieniem z wnioskiem o uzyskanie decyzji na wycinkę drzew do właściwego organu administracyjnego,</w:t>
      </w:r>
    </w:p>
    <w:p w14:paraId="780ECE9E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materiałów do wywłaszczenia gruntów,</w:t>
      </w:r>
    </w:p>
    <w:p w14:paraId="6B197FA1" w14:textId="77777777" w:rsidR="004F540B" w:rsidRPr="001F65CA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kosztorysu inwestorskiego wraz z przedmiarem robót,</w:t>
      </w:r>
    </w:p>
    <w:p w14:paraId="4C42239F" w14:textId="77777777" w:rsidR="004F540B" w:rsidRDefault="004F540B" w:rsidP="004F540B">
      <w:pPr>
        <w:pStyle w:val="Zwykytekst"/>
        <w:numPr>
          <w:ilvl w:val="0"/>
          <w:numId w:val="31"/>
        </w:numPr>
        <w:ind w:left="851" w:hanging="425"/>
        <w:jc w:val="both"/>
        <w:rPr>
          <w:rFonts w:asciiTheme="minorHAnsi" w:hAnsiTheme="minorHAnsi" w:cstheme="minorHAnsi"/>
          <w:szCs w:val="22"/>
        </w:rPr>
      </w:pPr>
      <w:r w:rsidRPr="001F65CA">
        <w:rPr>
          <w:rFonts w:asciiTheme="minorHAnsi" w:hAnsiTheme="minorHAnsi" w:cstheme="minorHAnsi"/>
          <w:szCs w:val="22"/>
        </w:rPr>
        <w:t>specyfikacji technicznej wykonania i odbioru robót (</w:t>
      </w:r>
      <w:proofErr w:type="spellStart"/>
      <w:r w:rsidRPr="001F65CA">
        <w:rPr>
          <w:rFonts w:asciiTheme="minorHAnsi" w:hAnsiTheme="minorHAnsi" w:cstheme="minorHAnsi"/>
          <w:szCs w:val="22"/>
        </w:rPr>
        <w:t>STWiOR</w:t>
      </w:r>
      <w:proofErr w:type="spellEnd"/>
      <w:r w:rsidRPr="001F65CA">
        <w:rPr>
          <w:rFonts w:asciiTheme="minorHAnsi" w:hAnsiTheme="minorHAnsi" w:cstheme="minorHAnsi"/>
          <w:szCs w:val="22"/>
        </w:rPr>
        <w:t>)</w:t>
      </w:r>
    </w:p>
    <w:p w14:paraId="205D6667" w14:textId="77777777" w:rsidR="004F540B" w:rsidRDefault="004F540B" w:rsidP="004F540B">
      <w:pPr>
        <w:pStyle w:val="Zwykytekst"/>
        <w:ind w:left="360"/>
        <w:jc w:val="both"/>
        <w:rPr>
          <w:rFonts w:asciiTheme="minorHAnsi" w:hAnsiTheme="minorHAnsi" w:cstheme="minorHAnsi"/>
          <w:szCs w:val="22"/>
        </w:rPr>
      </w:pPr>
    </w:p>
    <w:p w14:paraId="3A2E3684" w14:textId="77777777" w:rsidR="004F540B" w:rsidRPr="00981C20" w:rsidRDefault="004F540B" w:rsidP="004F540B">
      <w:pPr>
        <w:pStyle w:val="Zwykytekst"/>
        <w:ind w:left="360"/>
        <w:jc w:val="both"/>
        <w:rPr>
          <w:rFonts w:asciiTheme="minorHAnsi" w:hAnsiTheme="minorHAnsi" w:cstheme="minorHAnsi"/>
          <w:szCs w:val="22"/>
        </w:rPr>
      </w:pPr>
      <w:r w:rsidRPr="00981C20">
        <w:rPr>
          <w:rFonts w:asciiTheme="minorHAnsi" w:hAnsiTheme="minorHAnsi" w:cstheme="minorHAnsi"/>
          <w:szCs w:val="22"/>
        </w:rPr>
        <w:t xml:space="preserve">Dokumentacja, o której mowa </w:t>
      </w:r>
      <w:r>
        <w:rPr>
          <w:rFonts w:asciiTheme="minorHAnsi" w:hAnsiTheme="minorHAnsi" w:cstheme="minorHAnsi"/>
          <w:szCs w:val="22"/>
        </w:rPr>
        <w:t>powyżej</w:t>
      </w:r>
      <w:r w:rsidRPr="00981C20">
        <w:rPr>
          <w:rFonts w:asciiTheme="minorHAnsi" w:hAnsiTheme="minorHAnsi" w:cstheme="minorHAnsi"/>
          <w:szCs w:val="22"/>
        </w:rPr>
        <w:t xml:space="preserve"> zostanie wykonana i przekazana </w:t>
      </w:r>
      <w:r>
        <w:rPr>
          <w:rFonts w:asciiTheme="minorHAnsi" w:hAnsiTheme="minorHAnsi" w:cstheme="minorHAnsi"/>
          <w:szCs w:val="22"/>
        </w:rPr>
        <w:t>w</w:t>
      </w:r>
      <w:r w:rsidRPr="00981C20">
        <w:rPr>
          <w:rFonts w:asciiTheme="minorHAnsi" w:hAnsiTheme="minorHAnsi" w:cstheme="minorHAnsi"/>
          <w:szCs w:val="22"/>
        </w:rPr>
        <w:t xml:space="preserve"> 6 egzemplarz</w:t>
      </w:r>
      <w:r>
        <w:rPr>
          <w:rFonts w:asciiTheme="minorHAnsi" w:hAnsiTheme="minorHAnsi" w:cstheme="minorHAnsi"/>
          <w:szCs w:val="22"/>
        </w:rPr>
        <w:t>ach</w:t>
      </w:r>
      <w:r w:rsidRPr="00981C20">
        <w:rPr>
          <w:rFonts w:asciiTheme="minorHAnsi" w:hAnsiTheme="minorHAnsi" w:cstheme="minorHAnsi"/>
          <w:szCs w:val="22"/>
        </w:rPr>
        <w:t>,</w:t>
      </w:r>
    </w:p>
    <w:p w14:paraId="19EE292B" w14:textId="77777777" w:rsidR="004F540B" w:rsidRDefault="004F540B" w:rsidP="004F540B">
      <w:pPr>
        <w:pStyle w:val="Zwykytekst"/>
        <w:ind w:left="360"/>
        <w:jc w:val="both"/>
        <w:rPr>
          <w:rFonts w:asciiTheme="minorHAnsi" w:hAnsiTheme="minorHAnsi" w:cstheme="minorHAnsi"/>
          <w:szCs w:val="22"/>
        </w:rPr>
      </w:pPr>
      <w:r w:rsidRPr="00981C20">
        <w:rPr>
          <w:rFonts w:asciiTheme="minorHAnsi" w:hAnsiTheme="minorHAnsi" w:cstheme="minorHAnsi"/>
          <w:szCs w:val="22"/>
        </w:rPr>
        <w:t>w wersji papierowej oraz w formie elektronicznej na nośniku elektronicznym (płyta CD, DVD - 2 komplety) z rozszerzeniem plików: opracowania tekstowe: *.</w:t>
      </w:r>
      <w:proofErr w:type="spellStart"/>
      <w:r w:rsidRPr="00981C20">
        <w:rPr>
          <w:rFonts w:asciiTheme="minorHAnsi" w:hAnsiTheme="minorHAnsi" w:cstheme="minorHAnsi"/>
          <w:szCs w:val="22"/>
        </w:rPr>
        <w:t>doc</w:t>
      </w:r>
      <w:proofErr w:type="spellEnd"/>
      <w:r w:rsidRPr="00981C20">
        <w:rPr>
          <w:rFonts w:asciiTheme="minorHAnsi" w:hAnsiTheme="minorHAnsi" w:cstheme="minorHAnsi"/>
          <w:szCs w:val="22"/>
        </w:rPr>
        <w:t>, *.</w:t>
      </w:r>
      <w:proofErr w:type="spellStart"/>
      <w:r w:rsidRPr="00981C20">
        <w:rPr>
          <w:rFonts w:asciiTheme="minorHAnsi" w:hAnsiTheme="minorHAnsi" w:cstheme="minorHAnsi"/>
          <w:szCs w:val="22"/>
        </w:rPr>
        <w:t>docx</w:t>
      </w:r>
      <w:proofErr w:type="spellEnd"/>
      <w:r w:rsidRPr="00981C20">
        <w:rPr>
          <w:rFonts w:asciiTheme="minorHAnsi" w:hAnsiTheme="minorHAnsi" w:cstheme="minorHAnsi"/>
          <w:szCs w:val="22"/>
        </w:rPr>
        <w:t xml:space="preserve"> i *.pdf; arkusze kalkulacyjne: *.xls, *.</w:t>
      </w:r>
      <w:proofErr w:type="spellStart"/>
      <w:r w:rsidRPr="00981C20">
        <w:rPr>
          <w:rFonts w:asciiTheme="minorHAnsi" w:hAnsiTheme="minorHAnsi" w:cstheme="minorHAnsi"/>
          <w:szCs w:val="22"/>
        </w:rPr>
        <w:t>xlsx</w:t>
      </w:r>
      <w:proofErr w:type="spellEnd"/>
      <w:r w:rsidRPr="00981C20">
        <w:rPr>
          <w:rFonts w:asciiTheme="minorHAnsi" w:hAnsiTheme="minorHAnsi" w:cstheme="minorHAnsi"/>
          <w:szCs w:val="22"/>
        </w:rPr>
        <w:t xml:space="preserve"> i *.pdf;  dokumentacja graficzna: *.pdf; mapy *.</w:t>
      </w:r>
      <w:proofErr w:type="spellStart"/>
      <w:r w:rsidRPr="00981C20">
        <w:rPr>
          <w:rFonts w:asciiTheme="minorHAnsi" w:hAnsiTheme="minorHAnsi" w:cstheme="minorHAnsi"/>
          <w:szCs w:val="22"/>
        </w:rPr>
        <w:t>shp</w:t>
      </w:r>
      <w:proofErr w:type="spellEnd"/>
      <w:r w:rsidRPr="00981C20">
        <w:rPr>
          <w:rFonts w:asciiTheme="minorHAnsi" w:hAnsiTheme="minorHAnsi" w:cstheme="minorHAnsi"/>
          <w:szCs w:val="22"/>
        </w:rPr>
        <w:t>. Wszystkie elektroniczne wersje dokumentacji winny umożliwiać drukowanie, kopiowanie i edycję.</w:t>
      </w:r>
    </w:p>
    <w:p w14:paraId="02DE1D0D" w14:textId="77777777" w:rsidR="004F540B" w:rsidRDefault="004F540B">
      <w:pPr>
        <w:spacing w:after="0"/>
        <w:ind w:left="360"/>
        <w:jc w:val="both"/>
        <w:rPr>
          <w:b/>
          <w:u w:val="single"/>
        </w:rPr>
      </w:pPr>
    </w:p>
    <w:p w14:paraId="0319D0D9" w14:textId="77777777" w:rsidR="00A64516" w:rsidRDefault="00823B9F">
      <w:pPr>
        <w:spacing w:after="0"/>
        <w:ind w:left="360"/>
        <w:jc w:val="both"/>
        <w:rPr>
          <w:b/>
          <w:u w:val="single"/>
        </w:rPr>
      </w:pPr>
      <w:r>
        <w:rPr>
          <w:b/>
          <w:u w:val="single"/>
        </w:rPr>
        <w:t>UWAGA</w:t>
      </w:r>
    </w:p>
    <w:p w14:paraId="106DC550" w14:textId="43FD1DD0" w:rsidR="00A64516" w:rsidRDefault="00823B9F">
      <w:pPr>
        <w:spacing w:after="0" w:line="268" w:lineRule="auto"/>
        <w:ind w:left="709"/>
        <w:jc w:val="both"/>
        <w:rPr>
          <w:rFonts w:cstheme="minorHAnsi"/>
          <w:bCs/>
        </w:rPr>
      </w:pPr>
      <w:r>
        <w:rPr>
          <w:rFonts w:cstheme="minorHAnsi"/>
          <w:b/>
          <w:bCs/>
          <w:u w:val="single"/>
        </w:rPr>
        <w:t>Operat wodnoprawny</w:t>
      </w:r>
      <w:r>
        <w:rPr>
          <w:rFonts w:cstheme="minorHAnsi"/>
          <w:bCs/>
          <w:u w:val="single"/>
        </w:rPr>
        <w:t xml:space="preserve"> -  </w:t>
      </w:r>
      <w:r>
        <w:rPr>
          <w:rFonts w:cstheme="minorHAnsi"/>
          <w:bCs/>
        </w:rPr>
        <w:t>należy sporządzić zgodnie z ustaw</w:t>
      </w:r>
      <w:r w:rsidR="00885EE1">
        <w:rPr>
          <w:rFonts w:cstheme="minorHAnsi"/>
          <w:bCs/>
        </w:rPr>
        <w:t>ą</w:t>
      </w:r>
      <w:r>
        <w:rPr>
          <w:rFonts w:cstheme="minorHAnsi"/>
          <w:bCs/>
        </w:rPr>
        <w:t xml:space="preserve"> z dnia 20 lipca 2017 r. – Prawo wodne (Dz. U. z</w:t>
      </w:r>
      <w:r w:rsidR="00885EE1">
        <w:rPr>
          <w:rFonts w:cstheme="minorHAnsi"/>
          <w:bCs/>
        </w:rPr>
        <w:t xml:space="preserve"> 2021 r. poz. 2233, z późn. zm. oraz </w:t>
      </w:r>
      <w:r w:rsidR="00885EE1" w:rsidRPr="00885EE1">
        <w:rPr>
          <w:rFonts w:cstheme="minorHAnsi"/>
          <w:bCs/>
        </w:rPr>
        <w:t>Rozporządzeniem Ministra Środowiska z dnia 20 kwietnia 2007 r. w sprawie warunków technicznych, jakim powinny odpowiadać budowle hydrotechniczne i ich usytuowanie</w:t>
      </w:r>
      <w:r>
        <w:rPr>
          <w:rFonts w:cstheme="minorHAnsi"/>
          <w:bCs/>
        </w:rPr>
        <w:t>. Opracowanie powinno zawierać załączniki określone w art. 407 ustawy Prawo wodne.</w:t>
      </w:r>
    </w:p>
    <w:p w14:paraId="5E37558B" w14:textId="77777777" w:rsidR="00A64516" w:rsidRDefault="00A64516">
      <w:pPr>
        <w:spacing w:after="0" w:line="268" w:lineRule="auto"/>
        <w:ind w:left="709"/>
        <w:jc w:val="both"/>
        <w:rPr>
          <w:rFonts w:cstheme="minorHAnsi"/>
          <w:bCs/>
        </w:rPr>
      </w:pPr>
    </w:p>
    <w:p w14:paraId="0BD9B148" w14:textId="77777777" w:rsidR="00A64516" w:rsidRDefault="00823B9F">
      <w:pPr>
        <w:spacing w:after="0" w:line="268" w:lineRule="auto"/>
        <w:ind w:left="709"/>
        <w:jc w:val="both"/>
        <w:rPr>
          <w:rFonts w:cstheme="minorHAnsi"/>
          <w:bCs/>
        </w:rPr>
      </w:pPr>
      <w:r>
        <w:rPr>
          <w:rFonts w:cstheme="minorHAnsi"/>
          <w:bCs/>
        </w:rPr>
        <w:t>Minister właściwy do spraw gospodarki wodnej określił wzór wniosku o wydanie pozwolenia wodnoprawnego dostępny na stronie pod linkiem:</w:t>
      </w:r>
    </w:p>
    <w:p w14:paraId="3972CD55" w14:textId="77777777" w:rsidR="00A64516" w:rsidRDefault="006B75C9">
      <w:pPr>
        <w:spacing w:after="233" w:line="266" w:lineRule="auto"/>
        <w:ind w:left="709"/>
        <w:jc w:val="both"/>
      </w:pPr>
      <w:hyperlink r:id="rId9">
        <w:r w:rsidR="00823B9F">
          <w:rPr>
            <w:rStyle w:val="czeinternetowe"/>
            <w:rFonts w:eastAsiaTheme="minorHAnsi"/>
            <w:lang w:eastAsia="en-US"/>
          </w:rPr>
          <w:t>https://www.gov.pl/web/infrastruktura/wzory-wnioskow</w:t>
        </w:r>
      </w:hyperlink>
    </w:p>
    <w:p w14:paraId="043BF5DF" w14:textId="77777777" w:rsidR="00A64516" w:rsidRDefault="00823B9F">
      <w:pPr>
        <w:spacing w:after="0"/>
        <w:ind w:left="709" w:hanging="1"/>
        <w:jc w:val="both"/>
      </w:pPr>
      <w:r>
        <w:t>Należy mieć na uwadze dołączenie również załączników wskazanych we wzorze ww. Wniosku – jeśli są wymagane wraz z potwierdzeniem na piśmie organu dokonującego oceny.</w:t>
      </w:r>
    </w:p>
    <w:p w14:paraId="0B542423" w14:textId="77777777" w:rsidR="00A64516" w:rsidRDefault="00823B9F">
      <w:pPr>
        <w:spacing w:after="0"/>
        <w:ind w:left="709" w:hanging="1"/>
        <w:jc w:val="both"/>
      </w:pPr>
      <w:r>
        <w:t xml:space="preserve">Wniosek o pozwolenie wodnoprawne będzie podpisywał i składał sam </w:t>
      </w:r>
      <w:r>
        <w:rPr>
          <w:b/>
        </w:rPr>
        <w:t>Zamawiający</w:t>
      </w:r>
      <w:r>
        <w:t>, na podstawie dokumentów (wypełniony wniosek wraz ze wszystkimi wymaganymi załącznikami) przygotowanych przez Wykonawcę i zaakceptowanych przez Zmawiającego.</w:t>
      </w:r>
    </w:p>
    <w:p w14:paraId="35FB0811" w14:textId="77777777" w:rsidR="00A64516" w:rsidRDefault="00A64516">
      <w:pPr>
        <w:spacing w:after="0"/>
        <w:ind w:left="709"/>
        <w:jc w:val="both"/>
      </w:pPr>
    </w:p>
    <w:p w14:paraId="7A71343C" w14:textId="4002A7D6" w:rsidR="00A64516" w:rsidRDefault="00823B9F">
      <w:pPr>
        <w:spacing w:after="207" w:line="266" w:lineRule="auto"/>
        <w:ind w:left="709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b/>
          <w:color w:val="000000"/>
          <w:u w:val="single"/>
        </w:rPr>
        <w:lastRenderedPageBreak/>
        <w:t>Instrukcja gospodarowania wodą</w:t>
      </w:r>
      <w:r w:rsidR="002F42A4" w:rsidRPr="009E03AB">
        <w:rPr>
          <w:rFonts w:eastAsia="Calibri" w:cs="Calibri"/>
          <w:color w:val="000000"/>
        </w:rPr>
        <w:t xml:space="preserve"> </w:t>
      </w:r>
      <w:r w:rsidR="009E03AB" w:rsidRPr="009E03AB">
        <w:rPr>
          <w:rFonts w:eastAsia="Calibri" w:cs="Calibri"/>
          <w:color w:val="000000"/>
        </w:rPr>
        <w:t>(jeśli będzie wymagana)</w:t>
      </w:r>
      <w:r w:rsidRPr="009E03AB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– należy sporządzić zgodnie z ustawą Prawo Wodne (art. 409a oraz art. 407 ust. 3) oraz zgodnie z Rozporządzeniem Ministra Gospodarki Morskiej i Żeglugi Śródlądowej z dnia 10 września 2019 r. w sprawie zakresu instrukcji gospodarowania wodą (Dz. U. z 2019 r. poz. 1725)</w:t>
      </w:r>
    </w:p>
    <w:p w14:paraId="63EDED9C" w14:textId="77777777" w:rsidR="00A64516" w:rsidRDefault="00A64516">
      <w:pPr>
        <w:spacing w:after="207" w:line="266" w:lineRule="auto"/>
        <w:ind w:left="709"/>
        <w:jc w:val="both"/>
        <w:rPr>
          <w:rFonts w:ascii="Calibri" w:eastAsia="Calibri" w:hAnsi="Calibri" w:cs="Calibri"/>
          <w:color w:val="000000"/>
        </w:rPr>
      </w:pPr>
    </w:p>
    <w:p w14:paraId="39C177C7" w14:textId="77777777" w:rsidR="00A64516" w:rsidRDefault="00823B9F">
      <w:pPr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WYTYCZNE DOTYCZĄCE OPERATU WODNOPRAWNEGO</w:t>
      </w:r>
    </w:p>
    <w:p w14:paraId="4E1CDBAB" w14:textId="77777777" w:rsidR="00A64516" w:rsidRDefault="00A64516">
      <w:pPr>
        <w:spacing w:after="0"/>
        <w:ind w:left="709" w:hanging="1"/>
        <w:jc w:val="both"/>
        <w:rPr>
          <w:b/>
          <w:i/>
        </w:rPr>
      </w:pPr>
    </w:p>
    <w:p w14:paraId="442408CF" w14:textId="77777777" w:rsidR="00A64516" w:rsidRDefault="00823B9F">
      <w:pPr>
        <w:spacing w:after="0" w:line="410" w:lineRule="auto"/>
        <w:jc w:val="both"/>
        <w:rPr>
          <w:b/>
        </w:rPr>
      </w:pPr>
      <w:r>
        <w:rPr>
          <w:b/>
        </w:rPr>
        <w:t xml:space="preserve">Operat wodnoprawny powinien zawierać: </w:t>
      </w:r>
    </w:p>
    <w:p w14:paraId="3572D74C" w14:textId="77777777" w:rsidR="00A64516" w:rsidRDefault="00823B9F">
      <w:pPr>
        <w:pStyle w:val="Akapitzlist"/>
        <w:numPr>
          <w:ilvl w:val="0"/>
          <w:numId w:val="26"/>
        </w:numPr>
        <w:spacing w:after="0" w:line="410" w:lineRule="auto"/>
        <w:jc w:val="both"/>
      </w:pPr>
      <w:r>
        <w:rPr>
          <w:b/>
          <w:u w:val="single" w:color="000000"/>
        </w:rPr>
        <w:t>Część opisową obejmującą:</w:t>
      </w:r>
      <w:r>
        <w:rPr>
          <w:b/>
        </w:rPr>
        <w:t xml:space="preserve"> </w:t>
      </w:r>
    </w:p>
    <w:p w14:paraId="11BA603E" w14:textId="77777777" w:rsidR="00A64516" w:rsidRDefault="00823B9F">
      <w:pPr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Oznaczenie zakładu ubiegającego się o wydanie pozwolenia, jego siedziby i adresu,</w:t>
      </w:r>
    </w:p>
    <w:p w14:paraId="360AF800" w14:textId="77777777" w:rsidR="00A64516" w:rsidRDefault="00823B9F">
      <w:pPr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Wyszczególnienie:</w:t>
      </w:r>
    </w:p>
    <w:p w14:paraId="5DD8EACB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</w:pPr>
      <w:r>
        <w:t>celu i zakresu zamierzonego korzystania z wód,</w:t>
      </w:r>
    </w:p>
    <w:p w14:paraId="65B462EF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</w:pPr>
      <w:r>
        <w:t>celu i rodzaju planowanych do wykonania urządzeń wodnych lub robót,</w:t>
      </w:r>
    </w:p>
    <w:p w14:paraId="544447F6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</w:pPr>
      <w:r>
        <w:t>rodzaju urządzeń pomiarowych oraz znaków żeglugowych,</w:t>
      </w:r>
    </w:p>
    <w:p w14:paraId="5A8979BD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</w:pPr>
      <w:r>
        <w:t>rodzaju i zasięgu oddziaływania zamierzonego korzystania z wód lub planowanych do wykonania urządzeń wodnych,</w:t>
      </w:r>
    </w:p>
    <w:p w14:paraId="67102B8A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</w:pPr>
      <w:r>
        <w:t>stanu prawnego nieruchomości usytuowanych w zasięgu oddziaływania zamierzonego korzystania z wód lub planowanych do wykonania urządzeń wodnych, z podaniem siedzib i adresów ich właścicieli, zgodnie z ewidencją gruntów i budynków,</w:t>
      </w:r>
    </w:p>
    <w:p w14:paraId="72632BD7" w14:textId="77777777" w:rsidR="00A64516" w:rsidRDefault="00823B9F">
      <w:pPr>
        <w:pStyle w:val="Akapitzlist"/>
        <w:numPr>
          <w:ilvl w:val="0"/>
          <w:numId w:val="17"/>
        </w:numPr>
        <w:spacing w:after="42" w:line="266" w:lineRule="auto"/>
        <w:jc w:val="both"/>
        <w:rPr>
          <w:b/>
        </w:rPr>
      </w:pPr>
      <w:r>
        <w:t>obowiązków ubiegającego się o wydanie pozwolenia wodnoprawnego w stosunku do osób trzecich,</w:t>
      </w:r>
    </w:p>
    <w:p w14:paraId="6195C7B9" w14:textId="77777777" w:rsidR="00A64516" w:rsidRDefault="00823B9F">
      <w:pPr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Opis urządzenia wodnego, w tym podstawowe parametry charakteryzujące to urządzenie i warunki jego wykonania, oraz jego lokalizację za pomocą informacji o nazwie lub numerze obrębu ewidencyjnego z numerem lub numerami działek ewidencyjnych oraz współrzędnych,</w:t>
      </w:r>
    </w:p>
    <w:p w14:paraId="4A1BDE58" w14:textId="77777777" w:rsidR="00A64516" w:rsidRDefault="00823B9F">
      <w:pPr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Charakterystykę wód objętych pozwoleniem wodnoprawnym, w tym m.in.:</w:t>
      </w:r>
    </w:p>
    <w:p w14:paraId="2A2DC384" w14:textId="77777777" w:rsidR="00A64516" w:rsidRDefault="00823B9F">
      <w:pPr>
        <w:spacing w:after="40" w:line="266" w:lineRule="auto"/>
        <w:ind w:left="868"/>
        <w:jc w:val="both"/>
      </w:pPr>
      <w:r>
        <w:t>- uproszczony bilans potrzeb i zasobów wodnych,</w:t>
      </w:r>
    </w:p>
    <w:p w14:paraId="38B267DC" w14:textId="77777777" w:rsidR="00A64516" w:rsidRDefault="00823B9F">
      <w:pPr>
        <w:spacing w:after="40" w:line="266" w:lineRule="auto"/>
        <w:ind w:left="868"/>
        <w:jc w:val="both"/>
      </w:pPr>
      <w:r>
        <w:t>- obliczenia zasięgu cofki,</w:t>
      </w:r>
    </w:p>
    <w:p w14:paraId="2F4732A6" w14:textId="77777777" w:rsidR="00A64516" w:rsidRDefault="00823B9F">
      <w:pPr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Charakterystykę odbiornika ścieków lub wód opadowych lub roztopowych objętego pozwoleniem wodnoprawnym – jeśli są wymagane,</w:t>
      </w:r>
    </w:p>
    <w:p w14:paraId="596EC7F8" w14:textId="77777777" w:rsidR="00A64516" w:rsidRDefault="00823B9F">
      <w:pPr>
        <w:pStyle w:val="Akapitzlist"/>
        <w:numPr>
          <w:ilvl w:val="1"/>
          <w:numId w:val="14"/>
        </w:numPr>
        <w:spacing w:after="42" w:line="266" w:lineRule="auto"/>
        <w:ind w:left="426" w:hanging="426"/>
        <w:jc w:val="both"/>
      </w:pPr>
      <w:r>
        <w:t>Ustalenia wynikające z:</w:t>
      </w:r>
    </w:p>
    <w:p w14:paraId="09FA61BE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planu gospodarowania wodami na obszarze dorzecza,</w:t>
      </w:r>
    </w:p>
    <w:p w14:paraId="65847809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planu zarządzania ryzykiem powodziowym,</w:t>
      </w:r>
    </w:p>
    <w:p w14:paraId="25FDCC16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planu przeciwdziałania skutkom suszy,</w:t>
      </w:r>
    </w:p>
    <w:p w14:paraId="148B212A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programu ochrony wód morskich,</w:t>
      </w:r>
    </w:p>
    <w:p w14:paraId="38841270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krajowego programu oczyszczania ścieków komunalnych,</w:t>
      </w:r>
    </w:p>
    <w:p w14:paraId="3DC425C9" w14:textId="77777777" w:rsidR="00A64516" w:rsidRDefault="00823B9F">
      <w:pPr>
        <w:pStyle w:val="Akapitzlist"/>
        <w:numPr>
          <w:ilvl w:val="0"/>
          <w:numId w:val="18"/>
        </w:numPr>
        <w:spacing w:after="40" w:line="266" w:lineRule="auto"/>
        <w:ind w:left="993" w:hanging="426"/>
        <w:jc w:val="both"/>
      </w:pPr>
      <w:r>
        <w:t>planu lub programu rozwoju śródlądowych dróg wodnych o szczególnym znaczeniu transportowym,</w:t>
      </w:r>
    </w:p>
    <w:p w14:paraId="28EA545B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Określenie wpływu planowanych do wykonania urządzeń wodnych lub korzystania z wód na wody powierzchniowe oraz wody podziemne, w szczególności na stan tych wód i realizację celów środowiskowych dla nich określonych,</w:t>
      </w:r>
    </w:p>
    <w:p w14:paraId="40B2F3B6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Wielkość przepływu nienaruszalnego, sposób jego obliczania oraz odczytywania jego wartości w miejscu korzystania z wód,</w:t>
      </w:r>
    </w:p>
    <w:p w14:paraId="2C3C5FFD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 xml:space="preserve">Wielkość średniego niskiego przepływu z </w:t>
      </w:r>
      <w:proofErr w:type="spellStart"/>
      <w:r>
        <w:t>wielolecia</w:t>
      </w:r>
      <w:proofErr w:type="spellEnd"/>
      <w:r>
        <w:t xml:space="preserve"> (SNQ) lub zasobu wód podziemnych,</w:t>
      </w:r>
    </w:p>
    <w:p w14:paraId="233B42B5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lastRenderedPageBreak/>
        <w:t>Planowany okres rozruchu, sposób postępowania w przypadku rozruchu, zatrzymania działalności lub awarii urządzeń istotnych dla realizacji pozwolenia wodnoprawnego, a także rozmiar i warunki korzystania z wód oraz urządzeń wodnych w tych sytuacjach wraz z maksymalnym, dopuszczalnym czasem ich trwania,</w:t>
      </w:r>
    </w:p>
    <w:p w14:paraId="337ACC68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Informację o formach ochrony przyrody utworzonych lub ustanowionych na podstawie przepisów ustawy z dnia 16 kwietnia 2004 r. o ochronie przyrody, występujących w zasięgu oddziaływania zamierzonego korzystania z wód lub planowanych do wykonania urządzeń wodnych.</w:t>
      </w:r>
    </w:p>
    <w:p w14:paraId="09008388" w14:textId="77777777" w:rsidR="00A64516" w:rsidRDefault="00A64516">
      <w:pPr>
        <w:spacing w:after="50"/>
        <w:ind w:left="176"/>
        <w:rPr>
          <w:u w:val="single" w:color="000000"/>
        </w:rPr>
      </w:pPr>
    </w:p>
    <w:p w14:paraId="73C2B266" w14:textId="77777777" w:rsidR="00A64516" w:rsidRDefault="00823B9F">
      <w:pPr>
        <w:spacing w:after="50"/>
      </w:pPr>
      <w:r>
        <w:rPr>
          <w:u w:val="single" w:color="000000"/>
        </w:rPr>
        <w:t>Ponadto:</w:t>
      </w:r>
      <w:r>
        <w:t xml:space="preserve"> </w:t>
      </w:r>
    </w:p>
    <w:p w14:paraId="0F42E386" w14:textId="77777777" w:rsidR="00A64516" w:rsidRDefault="00823B9F">
      <w:pPr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 xml:space="preserve">Projekt wniosku o wydanie pozwolenia wodnoprawnego </w:t>
      </w:r>
    </w:p>
    <w:p w14:paraId="141F57E3" w14:textId="77777777" w:rsidR="00A64516" w:rsidRDefault="00823B9F">
      <w:pPr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Opis prowadzenia zamierzonej działalności niezawierający określeń specjalistycznych,</w:t>
      </w:r>
    </w:p>
    <w:p w14:paraId="117B4887" w14:textId="77777777" w:rsidR="00A64516" w:rsidRDefault="00823B9F">
      <w:pPr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Decyzję o środowiskowych uwarunkowaniach, jeżeli jest wymagana,</w:t>
      </w:r>
    </w:p>
    <w:p w14:paraId="419A2B33" w14:textId="77777777" w:rsidR="00A64516" w:rsidRDefault="00823B9F">
      <w:pPr>
        <w:pStyle w:val="Akapitzlist"/>
        <w:numPr>
          <w:ilvl w:val="0"/>
          <w:numId w:val="19"/>
        </w:numPr>
        <w:spacing w:after="40" w:line="266" w:lineRule="auto"/>
        <w:ind w:left="851" w:hanging="425"/>
        <w:jc w:val="both"/>
      </w:pPr>
      <w:r>
        <w:t>w przypadku przedsięwzięć, dla których wydano decyzję o środowiskowych uwarunkowaniach w postępowaniu wymagającym udziału społeczeństwa -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art. 74 ust. 1 pkt 3a ustawy z dnia 3 października 2008 r. o udostępnianiu informacji o środowisku i jego ochronie, udziale społeczeństwa w ochronie środowiska oraz o ocenach oddziaływania na środowisko,</w:t>
      </w:r>
    </w:p>
    <w:p w14:paraId="52781A4B" w14:textId="77777777" w:rsidR="00A64516" w:rsidRDefault="00823B9F">
      <w:pPr>
        <w:pStyle w:val="Akapitzlist"/>
        <w:numPr>
          <w:ilvl w:val="1"/>
          <w:numId w:val="14"/>
        </w:numPr>
        <w:spacing w:after="40" w:line="266" w:lineRule="auto"/>
        <w:ind w:left="426" w:hanging="426"/>
        <w:jc w:val="both"/>
      </w:pPr>
      <w:r>
        <w:t>Wypis i wyrys z miejscowego planu zagospodarowania przestrzennego, a w przypadku jego braku - decyzję o ustaleniu lokalizacji inwestycji celu publicznego albo decyzję o warunkach zabudowy, jeżeli są wymagane,</w:t>
      </w:r>
    </w:p>
    <w:p w14:paraId="6495961F" w14:textId="77777777" w:rsidR="00A64516" w:rsidRDefault="00A64516">
      <w:pPr>
        <w:spacing w:after="40" w:line="266" w:lineRule="auto"/>
        <w:jc w:val="both"/>
      </w:pPr>
    </w:p>
    <w:p w14:paraId="59AD0C29" w14:textId="77777777" w:rsidR="00A64516" w:rsidRDefault="00A64516">
      <w:pPr>
        <w:spacing w:after="40" w:line="266" w:lineRule="auto"/>
        <w:jc w:val="both"/>
      </w:pPr>
    </w:p>
    <w:p w14:paraId="5EB8661F" w14:textId="77777777" w:rsidR="00A64516" w:rsidRDefault="00823B9F">
      <w:pPr>
        <w:shd w:val="clear" w:color="auto" w:fill="F2F2F2" w:themeFill="background1" w:themeFillShade="F2"/>
        <w:spacing w:after="52"/>
        <w:ind w:left="176" w:firstLine="250"/>
        <w:rPr>
          <w:b/>
          <w:bCs/>
        </w:rPr>
      </w:pPr>
      <w:r>
        <w:rPr>
          <w:b/>
          <w:bCs/>
        </w:rPr>
        <w:t>Uwaga:</w:t>
      </w:r>
    </w:p>
    <w:p w14:paraId="63329C4F" w14:textId="77777777" w:rsidR="00A64516" w:rsidRDefault="00823B9F">
      <w:pPr>
        <w:pStyle w:val="Akapitzlist"/>
        <w:shd w:val="clear" w:color="auto" w:fill="F2F2F2" w:themeFill="background1" w:themeFillShade="F2"/>
        <w:spacing w:after="0"/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Decyzje i pisma oraz inne dokumenty urzędowe wymagane w sprawie załączone do </w:t>
      </w:r>
      <w:r>
        <w:rPr>
          <w:rFonts w:cstheme="minorHAnsi"/>
          <w:b/>
          <w:i/>
          <w:iCs/>
        </w:rPr>
        <w:t>Wniosku</w:t>
      </w:r>
      <w:r>
        <w:rPr>
          <w:rFonts w:cstheme="minorHAnsi"/>
          <w:b/>
        </w:rPr>
        <w:t xml:space="preserve"> to:</w:t>
      </w:r>
    </w:p>
    <w:p w14:paraId="27A375DE" w14:textId="77777777" w:rsidR="00A64516" w:rsidRDefault="00823B9F">
      <w:pPr>
        <w:pStyle w:val="Akapitzlist"/>
        <w:numPr>
          <w:ilvl w:val="0"/>
          <w:numId w:val="15"/>
        </w:numPr>
        <w:shd w:val="clear" w:color="auto" w:fill="F2F2F2" w:themeFill="background1" w:themeFillShade="F2"/>
        <w:spacing w:after="0"/>
        <w:ind w:left="709" w:hanging="283"/>
        <w:jc w:val="both"/>
      </w:pPr>
      <w:r>
        <w:t>oryginały decyzji wraz z nadaną klauzulą ostateczności oraz innych pism (wymaganych w sprawie),</w:t>
      </w:r>
    </w:p>
    <w:p w14:paraId="44ED8018" w14:textId="77777777" w:rsidR="00A64516" w:rsidRDefault="00823B9F">
      <w:pPr>
        <w:pStyle w:val="Akapitzlist"/>
        <w:shd w:val="clear" w:color="auto" w:fill="F2F2F2" w:themeFill="background1" w:themeFillShade="F2"/>
        <w:spacing w:after="0"/>
        <w:ind w:left="709" w:hanging="283"/>
        <w:jc w:val="both"/>
      </w:pPr>
      <w:r>
        <w:t>lub</w:t>
      </w:r>
    </w:p>
    <w:p w14:paraId="6657E644" w14:textId="77777777" w:rsidR="00A64516" w:rsidRDefault="00823B9F">
      <w:pPr>
        <w:pStyle w:val="Akapitzlist"/>
        <w:numPr>
          <w:ilvl w:val="0"/>
          <w:numId w:val="15"/>
        </w:numPr>
        <w:shd w:val="clear" w:color="auto" w:fill="F2F2F2" w:themeFill="background1" w:themeFillShade="F2"/>
        <w:spacing w:after="0"/>
        <w:ind w:left="709" w:hanging="283"/>
        <w:jc w:val="both"/>
        <w:rPr>
          <w:rFonts w:cstheme="minorHAnsi"/>
          <w:bCs/>
        </w:rPr>
      </w:pPr>
      <w:r>
        <w:t>poświadczone urzędowo za zgodność w urzędach, które je wydały lub notarialnie za zgodność z oryginałem kopie decyzji wraz z nadaną klauzulą ostateczności oraz pism (wymaganych w sprawie).</w:t>
      </w:r>
    </w:p>
    <w:p w14:paraId="5529BED4" w14:textId="77777777" w:rsidR="00A64516" w:rsidRDefault="00A64516">
      <w:pPr>
        <w:spacing w:after="52"/>
        <w:ind w:left="176"/>
      </w:pPr>
    </w:p>
    <w:p w14:paraId="3D8ABC15" w14:textId="77777777" w:rsidR="00A64516" w:rsidRDefault="00823B9F">
      <w:pPr>
        <w:spacing w:after="40" w:line="266" w:lineRule="auto"/>
        <w:ind w:left="426" w:hanging="426"/>
        <w:jc w:val="both"/>
      </w:pPr>
      <w:r>
        <w:t>16.</w:t>
      </w:r>
      <w:r>
        <w:tab/>
        <w:t>Ocenę wodnoprawną, jeżeli jest wymagana,</w:t>
      </w:r>
    </w:p>
    <w:p w14:paraId="0E5E4F25" w14:textId="77777777" w:rsidR="00A64516" w:rsidRDefault="00823B9F">
      <w:pPr>
        <w:pStyle w:val="Akapitzlist"/>
        <w:numPr>
          <w:ilvl w:val="0"/>
          <w:numId w:val="20"/>
        </w:numPr>
        <w:spacing w:after="40" w:line="266" w:lineRule="auto"/>
        <w:ind w:left="426" w:hanging="426"/>
        <w:jc w:val="both"/>
      </w:pPr>
      <w:r>
        <w:t>Wypisy z rejestru gruntów lub uproszczone wypisy z rejestru gruntów dla nieruchomości usytuowanych w zasięgu oddziaływania zamierzonego korzystania z wód lub w zasięgu oddziaływania planowanych do wykonania urządzeń wodnych.</w:t>
      </w:r>
    </w:p>
    <w:p w14:paraId="530EE5EE" w14:textId="77777777" w:rsidR="00A64516" w:rsidRDefault="00A64516"/>
    <w:p w14:paraId="7D97AABB" w14:textId="77777777" w:rsidR="00A64516" w:rsidRDefault="00823B9F">
      <w:pPr>
        <w:tabs>
          <w:tab w:val="left" w:pos="426"/>
        </w:tabs>
        <w:spacing w:before="120" w:after="0"/>
        <w:jc w:val="both"/>
        <w:rPr>
          <w:rFonts w:eastAsia="Arial" w:cstheme="minorHAnsi"/>
          <w:b/>
          <w:bCs/>
          <w:color w:val="00153E"/>
          <w:highlight w:val="white"/>
          <w:lang w:eastAsia="en-US"/>
        </w:rPr>
      </w:pPr>
      <w:r>
        <w:rPr>
          <w:rFonts w:eastAsia="Arial" w:cstheme="minorHAnsi"/>
          <w:b/>
          <w:bCs/>
          <w:color w:val="00153E"/>
          <w:shd w:val="clear" w:color="auto" w:fill="FFFFFF"/>
          <w:lang w:eastAsia="en-US"/>
        </w:rPr>
        <w:t>Uwaga:</w:t>
      </w:r>
    </w:p>
    <w:p w14:paraId="3E7DCEE1" w14:textId="77777777" w:rsidR="00A64516" w:rsidRDefault="00823B9F">
      <w:pPr>
        <w:spacing w:after="40" w:line="266" w:lineRule="auto"/>
        <w:jc w:val="both"/>
        <w:rPr>
          <w:bCs/>
          <w:color w:val="00153E"/>
        </w:rPr>
      </w:pPr>
      <w:r>
        <w:rPr>
          <w:bCs/>
          <w:color w:val="00153E"/>
          <w:u w:val="single" w:color="000000"/>
        </w:rPr>
        <w:lastRenderedPageBreak/>
        <w:t>Wypisy z rejestru</w:t>
      </w:r>
      <w:r>
        <w:rPr>
          <w:bCs/>
          <w:color w:val="00153E"/>
        </w:rPr>
        <w:t xml:space="preserve"> </w:t>
      </w:r>
      <w:r>
        <w:rPr>
          <w:bCs/>
          <w:color w:val="00153E"/>
          <w:u w:val="single" w:color="000000"/>
        </w:rPr>
        <w:t>gruntów lub uproszczone wypisy z rejestru gruntów na dzień składania dokumentacji do</w:t>
      </w:r>
      <w:r>
        <w:rPr>
          <w:bCs/>
          <w:color w:val="00153E"/>
        </w:rPr>
        <w:t xml:space="preserve"> </w:t>
      </w:r>
      <w:r>
        <w:rPr>
          <w:bCs/>
          <w:color w:val="00153E"/>
          <w:u w:val="single" w:color="000000"/>
        </w:rPr>
        <w:t>Zamawiającego nie mogą być starsze niż 14 dni (</w:t>
      </w:r>
      <w:r>
        <w:rPr>
          <w:rFonts w:eastAsia="Arial" w:cstheme="minorHAnsi"/>
          <w:color w:val="00153E"/>
          <w:shd w:val="clear" w:color="auto" w:fill="FFFFFF"/>
        </w:rPr>
        <w:t>wystawione nie wcześniej niż 3 miesiące przed złożeniem wniosku do ministra właściwego ds. gospodarki wodnej).</w:t>
      </w:r>
    </w:p>
    <w:p w14:paraId="7B766CD2" w14:textId="77777777" w:rsidR="00A64516" w:rsidRDefault="00823B9F">
      <w:pPr>
        <w:tabs>
          <w:tab w:val="left" w:pos="426"/>
        </w:tabs>
        <w:spacing w:after="0"/>
        <w:jc w:val="both"/>
        <w:rPr>
          <w:rFonts w:eastAsia="Arial" w:cstheme="minorHAnsi"/>
          <w:color w:val="00153E"/>
          <w:highlight w:val="white"/>
          <w:lang w:eastAsia="en-US"/>
        </w:rPr>
      </w:pPr>
      <w:r>
        <w:rPr>
          <w:rFonts w:eastAsia="Arial" w:cstheme="minorHAnsi"/>
          <w:color w:val="00153E"/>
          <w:shd w:val="clear" w:color="auto" w:fill="FFFFFF"/>
          <w:lang w:eastAsia="en-US"/>
        </w:rPr>
        <w:t>Wypisy z rejestru gruntów muszą znaleźć swoje odzwierciedlenie w planie urządzeń wodnych oraz zasięgu oddziaływania planowanych do wykonania prac, naniesionych na uwierzytelnioną mapę sytuacyjno-wysokościową terenu, wraz z ich powierzchnią, stosownie do art. 409 ust. 2 pkt 1 Prawa wodnego.</w:t>
      </w:r>
    </w:p>
    <w:p w14:paraId="0939A163" w14:textId="77777777" w:rsidR="00A64516" w:rsidRDefault="00823B9F">
      <w:pPr>
        <w:spacing w:before="120" w:after="0"/>
        <w:jc w:val="both"/>
        <w:rPr>
          <w:rFonts w:eastAsia="Arial" w:cstheme="minorHAnsi"/>
          <w:bCs/>
          <w:color w:val="00153E"/>
          <w:highlight w:val="white"/>
        </w:rPr>
      </w:pPr>
      <w:r>
        <w:rPr>
          <w:rFonts w:eastAsia="Arial" w:cstheme="minorHAnsi"/>
          <w:bCs/>
          <w:color w:val="00153E"/>
          <w:shd w:val="clear" w:color="auto" w:fill="FFFFFF"/>
        </w:rPr>
        <w:t>Wykonawca zobowiązany jest do:</w:t>
      </w:r>
    </w:p>
    <w:p w14:paraId="02F1186D" w14:textId="77777777" w:rsidR="00A64516" w:rsidRDefault="00823B9F">
      <w:pPr>
        <w:numPr>
          <w:ilvl w:val="0"/>
          <w:numId w:val="16"/>
        </w:numPr>
        <w:tabs>
          <w:tab w:val="left" w:pos="0"/>
          <w:tab w:val="left" w:pos="365"/>
        </w:tabs>
        <w:spacing w:after="0"/>
        <w:contextualSpacing/>
        <w:jc w:val="both"/>
        <w:rPr>
          <w:rFonts w:eastAsia="Arial" w:cstheme="minorHAnsi"/>
          <w:color w:val="00153E"/>
        </w:rPr>
      </w:pPr>
      <w:r>
        <w:rPr>
          <w:rFonts w:eastAsia="Arial" w:cstheme="minorHAnsi"/>
          <w:color w:val="00153E"/>
        </w:rPr>
        <w:t>przedłożenia oryginałów wypisów z rejestru gruntów,</w:t>
      </w:r>
    </w:p>
    <w:p w14:paraId="7642CFAE" w14:textId="77777777" w:rsidR="00A64516" w:rsidRDefault="00823B9F">
      <w:pPr>
        <w:tabs>
          <w:tab w:val="left" w:pos="0"/>
          <w:tab w:val="left" w:pos="365"/>
        </w:tabs>
        <w:spacing w:after="0"/>
        <w:ind w:left="720"/>
        <w:contextualSpacing/>
        <w:jc w:val="both"/>
        <w:rPr>
          <w:rFonts w:eastAsia="Arial" w:cstheme="minorHAnsi"/>
          <w:color w:val="00153E"/>
        </w:rPr>
      </w:pPr>
      <w:r>
        <w:rPr>
          <w:rFonts w:eastAsia="Arial" w:cstheme="minorHAnsi"/>
          <w:color w:val="00153E"/>
        </w:rPr>
        <w:t xml:space="preserve">lub </w:t>
      </w:r>
    </w:p>
    <w:p w14:paraId="7C264E5B" w14:textId="77777777" w:rsidR="00A64516" w:rsidRDefault="00823B9F">
      <w:pPr>
        <w:numPr>
          <w:ilvl w:val="0"/>
          <w:numId w:val="16"/>
        </w:numPr>
        <w:tabs>
          <w:tab w:val="left" w:pos="0"/>
          <w:tab w:val="left" w:pos="365"/>
        </w:tabs>
        <w:spacing w:after="0"/>
        <w:contextualSpacing/>
        <w:jc w:val="both"/>
        <w:rPr>
          <w:rFonts w:eastAsia="Arial" w:cstheme="minorHAnsi"/>
          <w:color w:val="00153E"/>
          <w:highlight w:val="white"/>
        </w:rPr>
      </w:pPr>
      <w:r>
        <w:rPr>
          <w:rFonts w:eastAsia="Arial" w:cstheme="minorHAnsi"/>
          <w:color w:val="00153E"/>
        </w:rPr>
        <w:t xml:space="preserve">urzędowo potwierdzonych za zgodność z oryginałem kopii wypisów z rejestru gruntów lub uproszczonych wypisów z rejestru gruntów dla nieruchomości </w:t>
      </w:r>
      <w:bookmarkStart w:id="3" w:name="page3"/>
      <w:bookmarkEnd w:id="3"/>
      <w:r>
        <w:rPr>
          <w:rFonts w:eastAsia="Arial" w:cstheme="minorHAnsi"/>
          <w:color w:val="00153E"/>
        </w:rPr>
        <w:t>usytuowanych w zasięgu oddziaływania.</w:t>
      </w:r>
    </w:p>
    <w:p w14:paraId="6498EB79" w14:textId="77777777" w:rsidR="00A64516" w:rsidRDefault="00823B9F">
      <w:pPr>
        <w:spacing w:before="120" w:after="0"/>
        <w:jc w:val="both"/>
        <w:rPr>
          <w:rFonts w:cstheme="minorHAnsi"/>
          <w:color w:val="00153E"/>
        </w:rPr>
      </w:pPr>
      <w:r>
        <w:rPr>
          <w:color w:val="00153E"/>
        </w:rPr>
        <w:t xml:space="preserve">Jeżeli do wniosku przedłożono kserokopie podpisanych elektronicznie uproszczonych wypisów z rejestru gruntów </w:t>
      </w:r>
      <w:r>
        <w:rPr>
          <w:rFonts w:cstheme="minorHAnsi"/>
          <w:color w:val="00153E"/>
        </w:rPr>
        <w:t>dla nieruchomości usytuowanych w zasięgu odziaływania zamierzonego korzystania z wód, to należy przedłożyć również na elektronicznym nośniku danych metadane poświadczające autentyczność elektronicznego podpisu na wypisach, stosownie do art. 407 ust. 2 pkt 5 Prawa wodnego w związku z art. 76a § 2a Kpa. Organ prowadzący postępowanie powinien mieć możliwość zweryfikowania autentyczności elektronicznego podpisu na wypisach.</w:t>
      </w:r>
    </w:p>
    <w:p w14:paraId="598E68E2" w14:textId="77777777" w:rsidR="00A64516" w:rsidRDefault="00A64516">
      <w:pPr>
        <w:spacing w:after="52"/>
        <w:ind w:left="176"/>
        <w:rPr>
          <w:color w:val="00153E"/>
        </w:rPr>
      </w:pPr>
    </w:p>
    <w:p w14:paraId="475A7D78" w14:textId="77777777" w:rsidR="00A64516" w:rsidRDefault="00823B9F">
      <w:pPr>
        <w:tabs>
          <w:tab w:val="center" w:pos="1804"/>
        </w:tabs>
        <w:spacing w:after="51"/>
        <w:ind w:left="-15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  <w:u w:val="single" w:color="000000"/>
        </w:rPr>
        <w:t>Część graficzną obejmującą:</w:t>
      </w:r>
      <w:r>
        <w:t xml:space="preserve"> </w:t>
      </w:r>
    </w:p>
    <w:p w14:paraId="758C367D" w14:textId="77777777" w:rsidR="00A64516" w:rsidRDefault="00823B9F">
      <w:pPr>
        <w:pStyle w:val="Akapitzlist"/>
        <w:numPr>
          <w:ilvl w:val="0"/>
          <w:numId w:val="21"/>
        </w:numPr>
        <w:spacing w:after="40" w:line="266" w:lineRule="auto"/>
        <w:ind w:left="284" w:hanging="284"/>
        <w:jc w:val="both"/>
      </w:pPr>
      <w:r>
        <w:t>Plan urządzeń wodnych i zasięg oddziaływania zamierzonego korzystania z wód lub planowanych do wykonania urządzeń wodnych, wraz z ich powierzchnią, naniesiony na mapę sytuacyjno-wysokościową terenu, z oznaczeniem nieruchomości;</w:t>
      </w:r>
    </w:p>
    <w:p w14:paraId="1F1347B5" w14:textId="77777777" w:rsidR="00A64516" w:rsidRDefault="00823B9F">
      <w:pPr>
        <w:spacing w:before="120" w:after="40" w:line="268" w:lineRule="auto"/>
        <w:jc w:val="both"/>
      </w:pPr>
      <w:r>
        <w:t>Załączona mapa powinna być opatrzona informacją, że pochodzi z właściwego ośrodka dokumentacji geodezyjnej i kartograficznej poprzez wykazanie certyfikatu lub potwierdzenie oryginalną stosowną pieczęcią</w:t>
      </w:r>
      <w:r>
        <w:rPr>
          <w:rFonts w:cstheme="minorHAnsi"/>
          <w:lang w:eastAsia="en-US"/>
        </w:rPr>
        <w:t xml:space="preserve"> właściwego </w:t>
      </w:r>
      <w:r>
        <w:rPr>
          <w:rFonts w:cstheme="minorHAnsi"/>
          <w:lang w:val="x-none" w:eastAsia="en-US"/>
        </w:rPr>
        <w:t>Powiatowego Ośrodka Dokumentacji Geodezyjnej i Kartograficznej.</w:t>
      </w:r>
    </w:p>
    <w:p w14:paraId="41B2AC9E" w14:textId="77777777" w:rsidR="00A64516" w:rsidRDefault="00823B9F">
      <w:pPr>
        <w:spacing w:after="0"/>
        <w:jc w:val="both"/>
        <w:rPr>
          <w:rFonts w:cstheme="minorHAnsi"/>
          <w:lang w:val="x-none" w:eastAsia="en-US"/>
        </w:rPr>
      </w:pPr>
      <w:r>
        <w:rPr>
          <w:rFonts w:cstheme="minorHAnsi"/>
          <w:lang w:val="x-none" w:eastAsia="en-US"/>
        </w:rPr>
        <w:t>W przypadku konieczności skopiowania mapy posiadającej oryginalną pieczęć, w celu np. naniesienia na nią dodatkowych danych, należy wówczas przedłożyć obie mapy lub oryginał licencji do mapy lub jej kopię urzędowo potwierdzoną za zgodność z oryginałem.</w:t>
      </w:r>
    </w:p>
    <w:p w14:paraId="7E94F645" w14:textId="77777777" w:rsidR="00A64516" w:rsidRDefault="00823B9F">
      <w:pPr>
        <w:spacing w:before="120"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Należy wykazać, że mapy zostały pobrane na podstawie przedłożonej licencji (załączyć odnośnik do przedłożonej licencji).</w:t>
      </w:r>
    </w:p>
    <w:p w14:paraId="33B8C335" w14:textId="77777777" w:rsidR="00A64516" w:rsidRDefault="00823B9F">
      <w:pPr>
        <w:spacing w:before="120" w:after="0"/>
        <w:jc w:val="both"/>
        <w:rPr>
          <w:rFonts w:eastAsiaTheme="minorHAnsi" w:cstheme="minorHAnsi"/>
          <w:lang w:eastAsia="en-US"/>
        </w:rPr>
      </w:pPr>
      <w:r>
        <w:rPr>
          <w:rFonts w:cstheme="minorHAnsi"/>
          <w:lang w:val="x-none" w:eastAsia="en-US"/>
        </w:rPr>
        <w:t>Ponadto</w:t>
      </w:r>
      <w:r>
        <w:rPr>
          <w:rFonts w:cstheme="minorHAnsi"/>
          <w:lang w:eastAsia="en-US"/>
        </w:rPr>
        <w:t>,</w:t>
      </w:r>
      <w:r>
        <w:rPr>
          <w:rFonts w:cstheme="minorHAnsi"/>
          <w:lang w:val="x-none" w:eastAsia="en-US"/>
        </w:rPr>
        <w:t xml:space="preserve"> mapę należy opatrzyć legendą, z której będzie wynikał zasięg oddziaływania planowanego do wykonania urządzenia wodnego</w:t>
      </w:r>
      <w:r>
        <w:rPr>
          <w:rFonts w:cstheme="minorHAnsi"/>
          <w:lang w:eastAsia="en-US"/>
        </w:rPr>
        <w:t xml:space="preserve"> </w:t>
      </w:r>
      <w:r>
        <w:rPr>
          <w:rFonts w:cstheme="minorHAnsi"/>
          <w:lang w:val="x-none" w:eastAsia="en-US"/>
        </w:rPr>
        <w:t>i</w:t>
      </w:r>
      <w:r>
        <w:rPr>
          <w:rFonts w:cstheme="minorHAnsi"/>
          <w:lang w:eastAsia="en-US"/>
        </w:rPr>
        <w:t xml:space="preserve"> zamierzonego korzystania z wód</w:t>
      </w:r>
      <w:r>
        <w:rPr>
          <w:rFonts w:cstheme="minorHAnsi"/>
          <w:lang w:val="x-none" w:eastAsia="en-US"/>
        </w:rPr>
        <w:t>, a tak</w:t>
      </w:r>
      <w:r>
        <w:rPr>
          <w:rFonts w:cstheme="minorHAnsi"/>
          <w:lang w:eastAsia="en-US"/>
        </w:rPr>
        <w:t>że z wyraźnym i czytelnym oznaczeniem nieruchomości (</w:t>
      </w:r>
      <w:r>
        <w:rPr>
          <w:rFonts w:eastAsiaTheme="minorHAnsi" w:cstheme="minorHAnsi"/>
          <w:lang w:eastAsia="en-US"/>
        </w:rPr>
        <w:t xml:space="preserve">tzn. wyraźne linie graniczne i numery ewidencyjne działek) </w:t>
      </w:r>
      <w:r>
        <w:rPr>
          <w:rFonts w:cstheme="minorHAnsi"/>
          <w:lang w:eastAsia="en-US"/>
        </w:rPr>
        <w:t xml:space="preserve">znajdujących się na obszarze tego zasięgu, </w:t>
      </w:r>
      <w:r>
        <w:rPr>
          <w:rFonts w:cstheme="minorHAnsi"/>
          <w:lang w:val="x-none" w:eastAsia="en-US"/>
        </w:rPr>
        <w:t xml:space="preserve">celem weryfikacji nieruchomości znajdujących się w wyznaczonym zasięgu odziaływania, </w:t>
      </w:r>
      <w:r>
        <w:rPr>
          <w:rFonts w:cstheme="minorHAnsi"/>
          <w:lang w:eastAsia="en-US"/>
        </w:rPr>
        <w:t>co u</w:t>
      </w:r>
      <w:r>
        <w:rPr>
          <w:rFonts w:cstheme="minorHAnsi"/>
          <w:lang w:val="x-none" w:eastAsia="en-US"/>
        </w:rPr>
        <w:t>możliwi organowi prawidłowe ustaleni</w:t>
      </w:r>
      <w:r>
        <w:rPr>
          <w:rFonts w:cstheme="minorHAnsi"/>
          <w:lang w:eastAsia="en-US"/>
        </w:rPr>
        <w:t>e</w:t>
      </w:r>
      <w:r>
        <w:rPr>
          <w:rFonts w:cstheme="minorHAnsi"/>
          <w:lang w:val="x-none" w:eastAsia="en-US"/>
        </w:rPr>
        <w:t xml:space="preserve"> kręgu stron postępowania</w:t>
      </w:r>
      <w:r>
        <w:rPr>
          <w:rFonts w:cstheme="minorHAnsi"/>
          <w:lang w:eastAsia="en-US"/>
        </w:rPr>
        <w:t xml:space="preserve"> (</w:t>
      </w:r>
      <w:r>
        <w:rPr>
          <w:rFonts w:eastAsiaTheme="minorHAnsi" w:cstheme="minorHAnsi"/>
          <w:lang w:eastAsia="en-US"/>
        </w:rPr>
        <w:t>identycznej w wersji papierowej i wersji elektronicznej operatu wodnoprawnego).</w:t>
      </w:r>
    </w:p>
    <w:p w14:paraId="522591C2" w14:textId="77777777" w:rsidR="00A64516" w:rsidRDefault="00823B9F">
      <w:pPr>
        <w:tabs>
          <w:tab w:val="left" w:pos="8931"/>
        </w:tabs>
        <w:spacing w:after="0"/>
        <w:jc w:val="both"/>
      </w:pPr>
      <w:r>
        <w:t>Załączone do części graficznej operatu wodnoprawnego mapy powinny zawierać dane niezbędne dla mapy sytuacyjno-wysokościowej m.in. dane o ukształtowaniu terenu, takich jak wysokości szczegółów sytuacyjnych i formy ukształtowania terenu.</w:t>
      </w:r>
    </w:p>
    <w:p w14:paraId="0655A096" w14:textId="77777777" w:rsidR="00A64516" w:rsidRDefault="00823B9F">
      <w:pPr>
        <w:spacing w:after="0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Załączona mapa powinna zostać wykonana w skali, która zapewni jej czytelność.</w:t>
      </w:r>
    </w:p>
    <w:p w14:paraId="1DFE5D8E" w14:textId="77777777" w:rsidR="00A64516" w:rsidRDefault="00823B9F">
      <w:pPr>
        <w:tabs>
          <w:tab w:val="left" w:pos="426"/>
        </w:tabs>
        <w:spacing w:after="0"/>
        <w:jc w:val="both"/>
        <w:rPr>
          <w:rFonts w:eastAsia="Arial" w:cstheme="minorHAnsi"/>
          <w:highlight w:val="white"/>
          <w:lang w:eastAsia="en-US"/>
        </w:rPr>
      </w:pPr>
      <w:r>
        <w:rPr>
          <w:rFonts w:eastAsia="Arial" w:cstheme="minorHAnsi"/>
          <w:shd w:val="clear" w:color="auto" w:fill="FFFFFF"/>
          <w:lang w:eastAsia="en-US"/>
        </w:rPr>
        <w:lastRenderedPageBreak/>
        <w:t>Zawartość mapy powinna pozwolić na zweryfikowanie poprawności i kompletności przedłożonych wypisów z rejestrów gruntów, tym samym umożliwić prawidłowe ustalenie kręgu stron postępowania.</w:t>
      </w:r>
    </w:p>
    <w:p w14:paraId="4257D9DE" w14:textId="77777777" w:rsidR="00A64516" w:rsidRDefault="00823B9F">
      <w:pPr>
        <w:spacing w:before="120" w:after="0"/>
        <w:jc w:val="both"/>
      </w:pPr>
      <w:r>
        <w:t xml:space="preserve">Należy przewidzieć zweryfikowanie kompletności pokrycia mapami </w:t>
      </w:r>
      <w:proofErr w:type="spellStart"/>
      <w:r>
        <w:t>sytuacyjno</w:t>
      </w:r>
      <w:proofErr w:type="spellEnd"/>
      <w:r>
        <w:t xml:space="preserve"> - wysokościowymi całego obszaru oddziaływania zamierzenia w zasięgu cofki rzeki, ujściowych odcinków cieków oraz rowów połączonych z korytem w obszarze cofki oraz gruntów przyległych do tej części koryta i tych rowów, stosownie do zdiagnozowanego obszaru zmian poziomu wód w gruncie wywołanego spiętrzeniem wody w korycie rzeki.</w:t>
      </w:r>
    </w:p>
    <w:p w14:paraId="3F4DE5DA" w14:textId="77777777" w:rsidR="00A64516" w:rsidRDefault="00823B9F">
      <w:pPr>
        <w:pStyle w:val="Akapitzlist"/>
        <w:numPr>
          <w:ilvl w:val="0"/>
          <w:numId w:val="21"/>
        </w:numPr>
        <w:tabs>
          <w:tab w:val="left" w:pos="284"/>
        </w:tabs>
        <w:spacing w:before="120" w:after="40" w:line="268" w:lineRule="auto"/>
        <w:ind w:left="284" w:hanging="284"/>
        <w:jc w:val="both"/>
      </w:pPr>
      <w:r>
        <w:t>Zasadnicze przekroje podłużne i poprzeczne urządzeń wodnych oraz koryt wód płynących w zasięgu oddziaływania tych urządzeń,</w:t>
      </w:r>
    </w:p>
    <w:p w14:paraId="2A77AB9F" w14:textId="77777777" w:rsidR="00A64516" w:rsidRDefault="00823B9F">
      <w:pPr>
        <w:pStyle w:val="Akapitzlist"/>
        <w:numPr>
          <w:ilvl w:val="0"/>
          <w:numId w:val="21"/>
        </w:numPr>
        <w:tabs>
          <w:tab w:val="left" w:pos="284"/>
        </w:tabs>
        <w:spacing w:before="120" w:after="40" w:line="268" w:lineRule="auto"/>
        <w:ind w:left="284" w:hanging="284"/>
        <w:jc w:val="both"/>
      </w:pPr>
      <w:r>
        <w:t>Schemat rozmieszczenia urządzeń pomiarowych oraz znaków żeglugowych,</w:t>
      </w:r>
    </w:p>
    <w:p w14:paraId="4BFFBAEB" w14:textId="77777777" w:rsidR="00A64516" w:rsidRDefault="00823B9F">
      <w:pPr>
        <w:pStyle w:val="Akapitzlist"/>
        <w:numPr>
          <w:ilvl w:val="0"/>
          <w:numId w:val="21"/>
        </w:numPr>
        <w:tabs>
          <w:tab w:val="left" w:pos="284"/>
        </w:tabs>
        <w:spacing w:before="120" w:after="40" w:line="268" w:lineRule="auto"/>
        <w:ind w:left="284" w:hanging="284"/>
        <w:jc w:val="both"/>
      </w:pPr>
      <w:r>
        <w:t>Schemat funkcjonalny lub technologiczny urządzeń wodnych.</w:t>
      </w:r>
    </w:p>
    <w:p w14:paraId="2CB2A024" w14:textId="77777777" w:rsidR="00A64516" w:rsidRDefault="00A64516">
      <w:pPr>
        <w:spacing w:after="0"/>
        <w:ind w:left="176"/>
        <w:jc w:val="both"/>
      </w:pPr>
    </w:p>
    <w:p w14:paraId="5BB64597" w14:textId="77777777" w:rsidR="00A64516" w:rsidRDefault="00823B9F">
      <w:pPr>
        <w:spacing w:after="0"/>
        <w:jc w:val="both"/>
      </w:pPr>
      <w:r>
        <w:t>Operat sporządza się pisemnie w formie opisowej i graficznej, a także na informatycznych nośnikach danych jako dokument tekstowy, a część graficzną operatu w postaci plików typu rastrowego (PDF) lub plików w formacie wektorowych danych przestrzennych, odwzorowanych w jednym z obowiązujących układów współrzędnych geodezyjnych.</w:t>
      </w:r>
    </w:p>
    <w:p w14:paraId="7A989AC0" w14:textId="77777777" w:rsidR="00A64516" w:rsidRDefault="00823B9F">
      <w:pPr>
        <w:pStyle w:val="NormalnyWeb"/>
        <w:spacing w:before="120" w:beforeAutospacing="0" w:after="0" w:afterAutospacing="0" w:line="276" w:lineRule="auto"/>
        <w:jc w:val="both"/>
        <w:rPr>
          <w:sz w:val="22"/>
          <w:szCs w:val="22"/>
        </w:rPr>
      </w:pPr>
      <w:r>
        <w:rPr>
          <w:rFonts w:asciiTheme="minorHAnsi" w:eastAsiaTheme="minorEastAsia" w:hAnsi="Calibri" w:cstheme="minorBidi"/>
          <w:color w:val="000000" w:themeColor="text1"/>
          <w:kern w:val="2"/>
          <w:sz w:val="22"/>
          <w:szCs w:val="22"/>
        </w:rPr>
        <w:t>Należy mieć na uwadze, że zgodnie z Rozporządzeniem Rady Ministrów z dnia 19.12.2019 r. zmieniającym rozporządzenie w sprawie państwowego systemu odniesień przestrzennych (Dz. U. poz. 2494) od 1 stycznia 2024 r. układ PL-EVRF2007-NH będzie jedynym obowiązującym systemem wysokości w Polsce.</w:t>
      </w:r>
    </w:p>
    <w:p w14:paraId="4B75C357" w14:textId="77777777" w:rsidR="00A64516" w:rsidRDefault="00A64516">
      <w:pPr>
        <w:spacing w:after="0"/>
        <w:jc w:val="both"/>
        <w:rPr>
          <w:rFonts w:eastAsia="Carlito" w:cstheme="minorHAnsi"/>
          <w:lang w:eastAsia="en-US"/>
        </w:rPr>
      </w:pPr>
    </w:p>
    <w:p w14:paraId="7FD3C9BA" w14:textId="77777777" w:rsidR="00A64516" w:rsidRDefault="00823B9F">
      <w:pPr>
        <w:spacing w:after="0"/>
        <w:jc w:val="both"/>
        <w:rPr>
          <w:rFonts w:eastAsia="Carlito" w:cstheme="minorHAnsi"/>
          <w:lang w:eastAsia="en-US"/>
        </w:rPr>
      </w:pPr>
      <w:r>
        <w:rPr>
          <w:rFonts w:eastAsia="Carlito" w:cstheme="minorHAnsi"/>
          <w:lang w:eastAsia="en-US"/>
        </w:rPr>
        <w:t>W przypadku gdy na etapie postępowania wodnoprawnego zajdzie konieczność dokonania zgłoszenia wodnoprawnego, procedura zostanie przeprowadzona w ramach jednego postępowania, zgodnie z art. 394 ust. 4 ww. ustawy Prawo wodne.</w:t>
      </w:r>
    </w:p>
    <w:p w14:paraId="7AEEDEB3" w14:textId="77777777" w:rsidR="00A64516" w:rsidRDefault="00A64516">
      <w:pPr>
        <w:spacing w:after="0"/>
        <w:jc w:val="both"/>
        <w:rPr>
          <w:rFonts w:eastAsia="Carlito" w:cstheme="minorHAnsi"/>
          <w:lang w:eastAsia="en-US"/>
        </w:rPr>
      </w:pPr>
    </w:p>
    <w:p w14:paraId="38E27C3A" w14:textId="77777777" w:rsidR="00A64516" w:rsidRDefault="00A64516">
      <w:pPr>
        <w:spacing w:after="0"/>
        <w:ind w:left="709" w:hanging="1"/>
        <w:jc w:val="both"/>
      </w:pPr>
    </w:p>
    <w:p w14:paraId="63C49901" w14:textId="77777777" w:rsidR="00A64516" w:rsidRDefault="00823B9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WYTYCZNE DOTYCZĄCE INSTRUKCJI GOSPODAROWANIA WODĄ</w:t>
      </w:r>
    </w:p>
    <w:p w14:paraId="082EB6B3" w14:textId="77777777" w:rsidR="00A64516" w:rsidRDefault="00A64516">
      <w:pPr>
        <w:spacing w:after="0"/>
        <w:ind w:left="709" w:hanging="1"/>
        <w:jc w:val="both"/>
        <w:rPr>
          <w:b/>
          <w:u w:val="single"/>
        </w:rPr>
      </w:pPr>
    </w:p>
    <w:p w14:paraId="0323A3C2" w14:textId="77777777" w:rsidR="00A64516" w:rsidRDefault="00823B9F">
      <w:pPr>
        <w:spacing w:after="3" w:line="410" w:lineRule="auto"/>
        <w:ind w:right="33"/>
        <w:jc w:val="both"/>
        <w:rPr>
          <w:b/>
        </w:rPr>
      </w:pPr>
      <w:r>
        <w:rPr>
          <w:b/>
        </w:rPr>
        <w:t>Instrukcja gospodarowania wodą powinna zawierać, jeśli jest wymagana:</w:t>
      </w:r>
    </w:p>
    <w:p w14:paraId="094DFBD5" w14:textId="77777777" w:rsidR="00A64516" w:rsidRDefault="00823B9F">
      <w:pPr>
        <w:spacing w:after="3" w:line="410" w:lineRule="auto"/>
        <w:ind w:right="4397"/>
        <w:jc w:val="both"/>
      </w:pPr>
      <w:r>
        <w:rPr>
          <w:b/>
          <w:u w:val="single" w:color="000000"/>
        </w:rPr>
        <w:t>Część opisową obejmującą:</w:t>
      </w:r>
      <w:r>
        <w:rPr>
          <w:b/>
        </w:rPr>
        <w:t xml:space="preserve"> </w:t>
      </w:r>
    </w:p>
    <w:p w14:paraId="0FC2D042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Informacje ogólne dotyczące położenia urządzeń wodnych, w tym kilometraż usytuowania na cieku oraz współrzędne,</w:t>
      </w:r>
    </w:p>
    <w:p w14:paraId="3FBC2F16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Nazwę właściciela, zarządcy lub użytkowania bezpośrednio odpowiedzialnego za gospodarowanie wodą i utrzymanie urządzenia wodnego,</w:t>
      </w:r>
    </w:p>
    <w:p w14:paraId="316735A6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Wyszczególnienie funkcji, które ma spełniać urządzenie wodne,</w:t>
      </w:r>
    </w:p>
    <w:p w14:paraId="5F81EA95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 xml:space="preserve">Podstawowe informacje dotyczące urządzenia wodnego, odnoszące się do: </w:t>
      </w:r>
    </w:p>
    <w:p w14:paraId="161148B2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>poziomów piętrzenia, w tym minimalnego poziomu piętrzenia, minimalnego poziomu energetycznego, normalnego poziomu piętrzenia, maksymalnego poziomu piętrzenia, nadzwyczajnego poziomu piętrzenia i okresów ich obowiązywania,</w:t>
      </w:r>
    </w:p>
    <w:p w14:paraId="301EA417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>wysokości piętrzenia wody,</w:t>
      </w:r>
    </w:p>
    <w:p w14:paraId="2289CE83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 xml:space="preserve">przepływów - średniego niskiego przepływu z </w:t>
      </w:r>
      <w:proofErr w:type="spellStart"/>
      <w:r>
        <w:t>wielolecia</w:t>
      </w:r>
      <w:proofErr w:type="spellEnd"/>
      <w:r>
        <w:t xml:space="preserve">, przepływu gwarantowanego, przepływu nienaruszalnego, przepływu dozwolonego, przepływu powodziowego, przepływu </w:t>
      </w:r>
      <w:r>
        <w:lastRenderedPageBreak/>
        <w:t>katastrofalnego, przepływu wyprzedzającego, najniższego przepływu żeglownego i najwyższego przepływu żeglownego,</w:t>
      </w:r>
    </w:p>
    <w:p w14:paraId="1BC44E5C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>dopuszczalnych prędkości obniżenia i podwyższania poziomów wody na górnym i dolnym stanowisku,</w:t>
      </w:r>
    </w:p>
    <w:p w14:paraId="54FEDFEF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>maksymalnej przepustowości urządzenia wodnego,</w:t>
      </w:r>
    </w:p>
    <w:p w14:paraId="50E1BCB9" w14:textId="77777777" w:rsidR="00A64516" w:rsidRDefault="00823B9F">
      <w:pPr>
        <w:numPr>
          <w:ilvl w:val="1"/>
          <w:numId w:val="22"/>
        </w:numPr>
        <w:spacing w:after="40" w:line="266" w:lineRule="auto"/>
        <w:ind w:left="567" w:hanging="283"/>
        <w:jc w:val="both"/>
      </w:pPr>
      <w:r>
        <w:t>zagrożeń i uwarunkowań w gospodarowaniu wodą występujących przy obniżeniu poziomu piętrzenia poniżej minimalnego poziomu piętrzenia,</w:t>
      </w:r>
    </w:p>
    <w:p w14:paraId="7F11EA6E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gospodarowania wodą w normalnych warunkach użytkowania,</w:t>
      </w:r>
    </w:p>
    <w:p w14:paraId="6D5B8D5F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gospodarowania wodą w okresie powodzi,</w:t>
      </w:r>
    </w:p>
    <w:p w14:paraId="6C4B68D3" w14:textId="77777777" w:rsidR="00A64516" w:rsidRDefault="00823B9F">
      <w:pPr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postępowania w okresie występowania zjawisk lodowych,</w:t>
      </w:r>
    </w:p>
    <w:p w14:paraId="24015579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postępowania w przypadku wystąpienia awarii lub zaprzestania korzystania z wód określonego w pozwoleniu wodnoprawnym,</w:t>
      </w:r>
    </w:p>
    <w:p w14:paraId="6238CF4F" w14:textId="77777777" w:rsidR="00A64516" w:rsidRDefault="00823B9F">
      <w:pPr>
        <w:numPr>
          <w:ilvl w:val="0"/>
          <w:numId w:val="22"/>
        </w:numPr>
        <w:spacing w:after="42" w:line="266" w:lineRule="auto"/>
        <w:ind w:left="426" w:hanging="426"/>
        <w:jc w:val="both"/>
      </w:pPr>
      <w:r>
        <w:t>Określenie sposobu postepowania w okresie występowania zjawisk suszy,</w:t>
      </w:r>
    </w:p>
    <w:p w14:paraId="3875E710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Wykaz urządzeń pomiarowych oraz opis sieci pomiarowo-obserwacyjnej,</w:t>
      </w:r>
    </w:p>
    <w:p w14:paraId="1E2E10BB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podstawowych czynności związanych z gospodarowaniem wodą oraz wskazanie osób odpowiedzialnych za ich wykonywanie,</w:t>
      </w:r>
    </w:p>
    <w:p w14:paraId="68448716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Wykaz współdziałających zakładów i stanowisk osób odpowiedzialnych za gospodarowanie wodą wraz z ich danymi kontaktowymi,</w:t>
      </w:r>
    </w:p>
    <w:p w14:paraId="27FF36D4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powiadamiania centrum operacyjnego ochrony przeciwpowodziowej Państwowego Gospodarstwa Wodnego Wody Polskie o wystąpieniu na urządzeniu wodnym niebezpiecznych zjawisk będących skutkiem sytuacji hydrologiczno-meteorologicznej,</w:t>
      </w:r>
    </w:p>
    <w:p w14:paraId="04E722B5" w14:textId="77777777" w:rsidR="00A64516" w:rsidRDefault="00823B9F">
      <w:pPr>
        <w:pStyle w:val="Akapitzlist"/>
        <w:numPr>
          <w:ilvl w:val="0"/>
          <w:numId w:val="22"/>
        </w:numPr>
        <w:spacing w:after="40" w:line="266" w:lineRule="auto"/>
        <w:ind w:left="426" w:hanging="426"/>
        <w:jc w:val="both"/>
      </w:pPr>
      <w:r>
        <w:t>Określenie sposobu powiadamiania centrum operacyjnego ochrony przeciwpowodziowej Państwowego Gospodarstwa Wodnego Wody Polskie, gminnego, powiatowego i wojewódzkiego zespołu zarządzania kryzysowego oraz Instytutu Meteorologii i Gospodarki Wodnej - Państwowego Instytutu Badawczego o zrzutach wody ponad przepływ dozwolony; w przypadku braku gminnego centrum zarządzania kryzysowego powiadamia się wójta, burmistrza lub prezydenta miasta.</w:t>
      </w:r>
    </w:p>
    <w:p w14:paraId="322B3C5E" w14:textId="77777777" w:rsidR="00A64516" w:rsidRDefault="00A64516">
      <w:pPr>
        <w:pStyle w:val="Akapitzlist"/>
        <w:spacing w:after="40" w:line="266" w:lineRule="auto"/>
        <w:ind w:left="426"/>
        <w:jc w:val="both"/>
      </w:pPr>
    </w:p>
    <w:p w14:paraId="3FB7A7FB" w14:textId="77777777" w:rsidR="00A64516" w:rsidRDefault="00823B9F">
      <w:pPr>
        <w:tabs>
          <w:tab w:val="center" w:pos="1804"/>
        </w:tabs>
        <w:spacing w:after="51" w:line="259" w:lineRule="auto"/>
        <w:ind w:left="-15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b/>
          <w:color w:val="000000"/>
        </w:rPr>
        <w:t>II.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eastAsia="Calibri" w:cs="Calibri"/>
          <w:b/>
          <w:color w:val="000000"/>
          <w:u w:val="single" w:color="000000"/>
        </w:rPr>
        <w:t>Część graficzną obejmującą:</w:t>
      </w:r>
    </w:p>
    <w:p w14:paraId="03B42D1E" w14:textId="77777777" w:rsidR="00A64516" w:rsidRDefault="00823B9F">
      <w:pPr>
        <w:numPr>
          <w:ilvl w:val="0"/>
          <w:numId w:val="25"/>
        </w:numPr>
        <w:spacing w:after="19" w:line="259" w:lineRule="auto"/>
        <w:ind w:left="709" w:hanging="283"/>
        <w:contextualSpacing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Plany i schematy dotyczące urządzenia wodnego, związane z gospodarowaniem wodą,</w:t>
      </w:r>
    </w:p>
    <w:p w14:paraId="32337EB6" w14:textId="77777777" w:rsidR="00A64516" w:rsidRDefault="00823B9F">
      <w:pPr>
        <w:numPr>
          <w:ilvl w:val="0"/>
          <w:numId w:val="25"/>
        </w:numPr>
        <w:spacing w:after="19" w:line="259" w:lineRule="auto"/>
        <w:ind w:left="709" w:hanging="283"/>
        <w:contextualSpacing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Mapy topograficzne w skali od 1:1000 do 1:10 000 lub mapy zasadnicze w skali od 1:1000 do 1:10 000, zawierające lokalizację budowli piętrzących.</w:t>
      </w:r>
    </w:p>
    <w:p w14:paraId="7C90E966" w14:textId="77777777" w:rsidR="00A64516" w:rsidRDefault="00823B9F">
      <w:pPr>
        <w:numPr>
          <w:ilvl w:val="0"/>
          <w:numId w:val="25"/>
        </w:numPr>
        <w:spacing w:after="19" w:line="259" w:lineRule="auto"/>
        <w:ind w:left="709" w:hanging="283"/>
        <w:contextualSpacing/>
        <w:jc w:val="both"/>
        <w:rPr>
          <w:rFonts w:ascii="Calibri" w:eastAsia="Times New Roman" w:hAnsi="Calibri" w:cs="Times New Roman"/>
        </w:rPr>
      </w:pPr>
      <w:r>
        <w:rPr>
          <w:rFonts w:eastAsia="Times New Roman" w:cs="Times New Roman"/>
        </w:rPr>
        <w:t>Krzywe wydatku urządzeń zrzutowych.</w:t>
      </w:r>
    </w:p>
    <w:p w14:paraId="5E56F3BA" w14:textId="77777777" w:rsidR="00A64516" w:rsidRDefault="00A64516">
      <w:pPr>
        <w:spacing w:after="50" w:line="259" w:lineRule="auto"/>
        <w:rPr>
          <w:rFonts w:ascii="Calibri" w:eastAsia="Calibri" w:hAnsi="Calibri" w:cs="Calibri"/>
          <w:color w:val="000000"/>
          <w:u w:val="single" w:color="000000"/>
        </w:rPr>
      </w:pPr>
    </w:p>
    <w:p w14:paraId="48D10235" w14:textId="77777777" w:rsidR="00A64516" w:rsidRDefault="00823B9F">
      <w:pPr>
        <w:spacing w:after="50" w:line="259" w:lineRule="auto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  <w:u w:val="single" w:color="000000"/>
        </w:rPr>
        <w:t>Do instrukcji gospodarowania wodą dla budowli piętrzących załącza się:</w:t>
      </w:r>
    </w:p>
    <w:p w14:paraId="154E8AB7" w14:textId="77777777" w:rsidR="00A64516" w:rsidRDefault="00823B9F">
      <w:pPr>
        <w:numPr>
          <w:ilvl w:val="0"/>
          <w:numId w:val="23"/>
        </w:numPr>
        <w:spacing w:after="40" w:line="266" w:lineRule="auto"/>
        <w:ind w:left="709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Odpisy lub kopie dotychczasowych pozwoleń wodnoprawnych dotyczących danego urządzenia wodnego;</w:t>
      </w:r>
    </w:p>
    <w:p w14:paraId="012C51B2" w14:textId="77777777" w:rsidR="00A64516" w:rsidRDefault="00823B9F">
      <w:pPr>
        <w:numPr>
          <w:ilvl w:val="0"/>
          <w:numId w:val="23"/>
        </w:numPr>
        <w:spacing w:after="8" w:line="266" w:lineRule="auto"/>
        <w:ind w:left="709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Odpisy lub kopie pozwoleń wodnoprawnych dotyczących innych urządzeń wodnych w zasięgu oddziaływania budowli piętrzącej, o ile pozwolenia wodnoprawne odnoszące się do takich urządzeń zostały wydane.</w:t>
      </w:r>
    </w:p>
    <w:p w14:paraId="1C46CA85" w14:textId="77777777" w:rsidR="00A64516" w:rsidRDefault="00A64516">
      <w:pPr>
        <w:spacing w:after="19" w:line="259" w:lineRule="auto"/>
        <w:rPr>
          <w:rFonts w:ascii="Calibri" w:eastAsia="Calibri" w:hAnsi="Calibri" w:cs="Calibri"/>
          <w:color w:val="000000"/>
        </w:rPr>
      </w:pPr>
    </w:p>
    <w:p w14:paraId="62D41447" w14:textId="77777777" w:rsidR="00A64516" w:rsidRDefault="00823B9F">
      <w:pPr>
        <w:spacing w:after="5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eastAsia="Calibri" w:cs="Calibri"/>
          <w:b/>
          <w:color w:val="000000"/>
          <w:u w:val="single" w:color="000000"/>
        </w:rPr>
        <w:t>Powyższe opracowania powinny być wykonane mając na uwadze:</w:t>
      </w:r>
    </w:p>
    <w:p w14:paraId="7D1AC377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Ustawy z dnia 20 lipca 2017 r. </w:t>
      </w:r>
      <w:r>
        <w:rPr>
          <w:rFonts w:eastAsia="Calibri" w:cs="Calibri"/>
          <w:i/>
          <w:color w:val="000000"/>
        </w:rPr>
        <w:t>Prawo wodne</w:t>
      </w:r>
      <w:r>
        <w:rPr>
          <w:rFonts w:eastAsia="Calibri" w:cs="Calibri"/>
          <w:color w:val="000000"/>
        </w:rPr>
        <w:t xml:space="preserve"> (</w:t>
      </w:r>
      <w:proofErr w:type="spellStart"/>
      <w:r>
        <w:rPr>
          <w:rFonts w:eastAsia="Calibri" w:cs="Calibri"/>
          <w:color w:val="000000"/>
        </w:rPr>
        <w:t>t.j</w:t>
      </w:r>
      <w:proofErr w:type="spellEnd"/>
      <w:r>
        <w:rPr>
          <w:rFonts w:eastAsia="Calibri" w:cs="Calibri"/>
          <w:color w:val="000000"/>
        </w:rPr>
        <w:t xml:space="preserve">. Dz. U. z 2021 r. poz. 2233 z późn. zm.); </w:t>
      </w:r>
    </w:p>
    <w:p w14:paraId="06C9A252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Ustawy z dnia 16 kwietnia 2004 r. </w:t>
      </w:r>
      <w:r>
        <w:rPr>
          <w:rFonts w:eastAsia="Calibri" w:cs="Calibri"/>
          <w:i/>
          <w:color w:val="000000"/>
        </w:rPr>
        <w:t>o ochronie przyrody</w:t>
      </w:r>
      <w:r>
        <w:rPr>
          <w:rFonts w:eastAsia="Calibri" w:cs="Calibri"/>
          <w:color w:val="000000"/>
        </w:rPr>
        <w:t xml:space="preserve"> (</w:t>
      </w:r>
      <w:proofErr w:type="spellStart"/>
      <w:r>
        <w:rPr>
          <w:rFonts w:eastAsia="Calibri" w:cs="Calibri"/>
          <w:color w:val="000000"/>
        </w:rPr>
        <w:t>t.j</w:t>
      </w:r>
      <w:proofErr w:type="spellEnd"/>
      <w:r>
        <w:rPr>
          <w:rFonts w:eastAsia="Calibri" w:cs="Calibri"/>
          <w:color w:val="000000"/>
        </w:rPr>
        <w:t xml:space="preserve">. Dz. U. z 2021 r. poz. 1098); </w:t>
      </w:r>
    </w:p>
    <w:p w14:paraId="0064E176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 xml:space="preserve">Ustawy z dnia 27 kwietnia 2001 r. </w:t>
      </w:r>
      <w:r>
        <w:rPr>
          <w:rFonts w:eastAsia="Calibri" w:cs="Calibri"/>
          <w:i/>
          <w:color w:val="000000"/>
        </w:rPr>
        <w:t>Prawo ochrony środowiska</w:t>
      </w:r>
      <w:r>
        <w:rPr>
          <w:rFonts w:eastAsia="Calibri" w:cs="Calibri"/>
          <w:color w:val="000000"/>
        </w:rPr>
        <w:t xml:space="preserve"> (</w:t>
      </w:r>
      <w:proofErr w:type="spellStart"/>
      <w:r>
        <w:rPr>
          <w:rFonts w:eastAsia="Calibri" w:cs="Calibri"/>
          <w:color w:val="000000"/>
        </w:rPr>
        <w:t>t.j</w:t>
      </w:r>
      <w:proofErr w:type="spellEnd"/>
      <w:r>
        <w:rPr>
          <w:rFonts w:eastAsia="Calibri" w:cs="Calibri"/>
          <w:color w:val="000000"/>
        </w:rPr>
        <w:t xml:space="preserve">. Dz. U. z 2021 r. </w:t>
      </w:r>
      <w:r>
        <w:rPr>
          <w:rFonts w:eastAsia="Calibri" w:cs="Calibri"/>
          <w:color w:val="000000"/>
        </w:rPr>
        <w:br/>
        <w:t xml:space="preserve">poz. 1973 z późn. zm.); </w:t>
      </w:r>
    </w:p>
    <w:p w14:paraId="392A0BCA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Ustawy z dnia 3 października 2008 r. o udostępnianiu informacji o środowisku i jego ochronie, udziale społeczeństwa w ochronie środowiska oraz o ocenach oddziaływania na środowisko, (</w:t>
      </w:r>
      <w:proofErr w:type="spellStart"/>
      <w:r>
        <w:rPr>
          <w:rFonts w:eastAsia="Calibri" w:cs="Calibri"/>
          <w:color w:val="000000"/>
        </w:rPr>
        <w:t>t.j</w:t>
      </w:r>
      <w:proofErr w:type="spellEnd"/>
      <w:r>
        <w:rPr>
          <w:rFonts w:eastAsia="Calibri" w:cs="Calibri"/>
          <w:color w:val="000000"/>
        </w:rPr>
        <w:t>. Dz.U. z 2021 poz. 2373 z dnia 2021.12.21 z późn. zm.)</w:t>
      </w:r>
    </w:p>
    <w:p w14:paraId="1D130666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Rozporządzenie Ministra Gospodarki Morskiej i Żeglugi Śródlądowej z dnia 10 września 2019 r. w sprawie zakresu instrukcji gospodarowania wodą (Dz. U. z 2019 r. poz. 1725)</w:t>
      </w:r>
    </w:p>
    <w:p w14:paraId="7DE939E3" w14:textId="77777777" w:rsidR="00A64516" w:rsidRDefault="00823B9F">
      <w:pPr>
        <w:numPr>
          <w:ilvl w:val="0"/>
          <w:numId w:val="24"/>
        </w:numPr>
        <w:spacing w:after="42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>Katalog dobrych praktyk w zakresie robót hydrotechnicznych i prac utrzymaniowych wraz z ustaleniem zasad ich wdrażania, Kraków, kwiecień 2018 r. Dostępny na stronie pod linkiem:</w:t>
      </w:r>
    </w:p>
    <w:p w14:paraId="775EBA90" w14:textId="77777777" w:rsidR="00A64516" w:rsidRDefault="006B75C9">
      <w:pPr>
        <w:spacing w:after="42" w:line="266" w:lineRule="auto"/>
        <w:ind w:left="567"/>
        <w:jc w:val="both"/>
      </w:pPr>
      <w:hyperlink r:id="rId10">
        <w:r w:rsidR="00823B9F">
          <w:rPr>
            <w:rStyle w:val="ListLabel87"/>
          </w:rPr>
          <w:t>https://www.gov.pl/web/klimat/katalog-dobrych-praktyk-w-zakresie-robot-hydrotechnicznych</w:t>
        </w:r>
      </w:hyperlink>
    </w:p>
    <w:p w14:paraId="08282552" w14:textId="77777777" w:rsidR="00A64516" w:rsidRDefault="00823B9F">
      <w:pPr>
        <w:numPr>
          <w:ilvl w:val="0"/>
          <w:numId w:val="24"/>
        </w:numPr>
        <w:spacing w:after="8" w:line="266" w:lineRule="auto"/>
        <w:ind w:left="567" w:hanging="283"/>
        <w:jc w:val="both"/>
        <w:rPr>
          <w:rFonts w:ascii="Calibri" w:eastAsia="Calibri" w:hAnsi="Calibri" w:cs="Calibri"/>
          <w:color w:val="000000"/>
        </w:rPr>
      </w:pPr>
      <w:r>
        <w:rPr>
          <w:rFonts w:eastAsia="Calibri" w:cs="Calibri"/>
          <w:color w:val="000000"/>
        </w:rPr>
        <w:t xml:space="preserve">Przewodnika Dobrych Praktyk Wytyczne, opracowanego przez Departament Przygotowania  i Realizacji Inwestycji, Warszawa, styczeń 2021 r. wydanie 2 – Przewodnik w załączeniu. </w:t>
      </w:r>
    </w:p>
    <w:p w14:paraId="072C69C6" w14:textId="77777777" w:rsidR="00A64516" w:rsidRDefault="00A64516">
      <w:pPr>
        <w:spacing w:after="8" w:line="266" w:lineRule="auto"/>
        <w:jc w:val="both"/>
        <w:rPr>
          <w:rFonts w:ascii="Calibri" w:eastAsia="Calibri" w:hAnsi="Calibri" w:cs="Calibri"/>
          <w:color w:val="000000"/>
        </w:rPr>
      </w:pPr>
    </w:p>
    <w:p w14:paraId="4DE28022" w14:textId="77777777" w:rsidR="00A64516" w:rsidRDefault="00A64516">
      <w:pPr>
        <w:spacing w:after="8" w:line="266" w:lineRule="auto"/>
        <w:jc w:val="both"/>
        <w:rPr>
          <w:rFonts w:ascii="Calibri" w:eastAsia="Calibri" w:hAnsi="Calibri" w:cs="Calibri"/>
          <w:color w:val="000000"/>
        </w:rPr>
      </w:pPr>
    </w:p>
    <w:p w14:paraId="055A82D4" w14:textId="77777777" w:rsidR="00A64516" w:rsidRDefault="00823B9F">
      <w:pPr>
        <w:spacing w:after="8" w:line="266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eastAsia="Calibri" w:cs="Calibri"/>
          <w:b/>
          <w:color w:val="000000"/>
          <w:u w:val="single"/>
        </w:rPr>
        <w:t>OGÓLNE WYTYCZNE DLA WYKONAWCY</w:t>
      </w:r>
    </w:p>
    <w:p w14:paraId="7C59B6C2" w14:textId="77777777" w:rsidR="00A64516" w:rsidRDefault="00823B9F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Pozyskanie niezbędnych materiałów do opracowania kompletnego operatu wodnoprawnego wraz z załącznikami oraz instrukcji gospodarowania wodą, jeśli jest wymagana, leży po stronie Wykonawcy.</w:t>
      </w:r>
    </w:p>
    <w:p w14:paraId="18C53614" w14:textId="77777777" w:rsidR="00A64516" w:rsidRDefault="00823B9F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Pozyskanie mapy </w:t>
      </w:r>
      <w:proofErr w:type="spellStart"/>
      <w:r>
        <w:rPr>
          <w:rFonts w:eastAsia="Calibri" w:cs="Calibri"/>
        </w:rPr>
        <w:t>sytuacyjno</w:t>
      </w:r>
      <w:proofErr w:type="spellEnd"/>
      <w:r>
        <w:rPr>
          <w:rFonts w:eastAsia="Calibri" w:cs="Calibri"/>
        </w:rPr>
        <w:t xml:space="preserve"> – wysokościowej w celu naniesienia planu urządzeń wodnych i zasięgu oddziaływania zamierzonego korzystania z wód lub planowanych do wykonania urządzeń wodnych, wraz z ich powierzchnią oraz z oznaczeniem nieruchomości.</w:t>
      </w:r>
    </w:p>
    <w:p w14:paraId="60B84BA5" w14:textId="77777777" w:rsidR="00A64516" w:rsidRDefault="00823B9F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Pozyskanie aktualnych danych hydrologicznych, niezbędnych obliczeń, analiz danych itp.</w:t>
      </w:r>
    </w:p>
    <w:p w14:paraId="193AE37E" w14:textId="77777777" w:rsidR="00A64516" w:rsidRDefault="00823B9F">
      <w:pPr>
        <w:spacing w:before="120" w:after="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Wykonanie dodatkowych dokumentów oraz czynności związanych z uzyskaniem prawomocnej decyzji pozwolenia wodnoprawnego.</w:t>
      </w:r>
    </w:p>
    <w:p w14:paraId="0336177E" w14:textId="77777777" w:rsidR="00A64516" w:rsidRDefault="00823B9F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Wersja operatu dołączona na elektronicznym nośniku danych musi być spójna z wersją papierową, stanowiącą podstawę do wydania wnioskowanego pozwolenia wodnoprawnego.</w:t>
      </w:r>
    </w:p>
    <w:p w14:paraId="4D2FF186" w14:textId="77777777" w:rsidR="00A64516" w:rsidRDefault="00823B9F">
      <w:pPr>
        <w:spacing w:after="121" w:line="273" w:lineRule="auto"/>
        <w:ind w:right="2"/>
        <w:jc w:val="both"/>
      </w:pPr>
      <w:r>
        <w:t xml:space="preserve">Opracowanie operatu wodnoprawnego wraz ze wszystkimi elementami należy wykonać </w:t>
      </w:r>
      <w:r>
        <w:rPr>
          <w:b/>
        </w:rPr>
        <w:t>w czterech egzemplarzach</w:t>
      </w:r>
      <w:r>
        <w:t xml:space="preserve"> </w:t>
      </w:r>
      <w:r>
        <w:rPr>
          <w:b/>
        </w:rPr>
        <w:t>wersji papierowej +</w:t>
      </w:r>
      <w:r>
        <w:t xml:space="preserve"> </w:t>
      </w:r>
      <w:r>
        <w:rPr>
          <w:b/>
        </w:rPr>
        <w:t>wersja elektroniczna na płycie CD lub DVD</w:t>
      </w:r>
      <w:r>
        <w:t xml:space="preserve"> (</w:t>
      </w:r>
      <w:r>
        <w:rPr>
          <w:i/>
        </w:rPr>
        <w:t>Operat sporządza się na informatycznych nośnikach danych jako dokument tekstowy, a część graficzną operatu w postaci plików typu rastrowego (PDF) lub plików w formacie wektorowych danych przestrzennych, odwzorowanych w jednym z obowiązujących układów współrzędnych geodezyjnych</w:t>
      </w:r>
      <w:r>
        <w:t xml:space="preserve">). </w:t>
      </w:r>
    </w:p>
    <w:p w14:paraId="435176BA" w14:textId="77777777" w:rsidR="00A64516" w:rsidRDefault="00823B9F">
      <w:pPr>
        <w:spacing w:after="3" w:line="273" w:lineRule="auto"/>
        <w:ind w:right="-10"/>
        <w:jc w:val="both"/>
      </w:pPr>
      <w:r>
        <w:rPr>
          <w:bCs/>
        </w:rPr>
        <w:t>Natomiast l</w:t>
      </w:r>
      <w:r>
        <w:t xml:space="preserve">iczba egzemplarzy </w:t>
      </w:r>
      <w:r>
        <w:rPr>
          <w:i/>
          <w:iCs/>
        </w:rPr>
        <w:t>Instrukcji gospodarowania wodą</w:t>
      </w:r>
      <w:r>
        <w:t xml:space="preserve"> powinna odpowiadać ilości uwzględniającej właściciela wody oraz liczby zakładów korzystających z wód, których dotyczy instrukcja gospodarowania wodą, tj. l</w:t>
      </w:r>
      <w:r>
        <w:rPr>
          <w:bCs/>
        </w:rPr>
        <w:t xml:space="preserve">iczba egzemplarzy </w:t>
      </w:r>
      <w:r>
        <w:t>jest uzależniona od ilości zakładów, których dotyczy ta instrukcja wraz z uwzględnieniem właściciela wód.</w:t>
      </w:r>
    </w:p>
    <w:p w14:paraId="6A348EA7" w14:textId="78189D14" w:rsidR="00A64516" w:rsidRDefault="00823B9F" w:rsidP="00823B9F">
      <w:pPr>
        <w:spacing w:before="120" w:after="207" w:line="268" w:lineRule="auto"/>
        <w:jc w:val="both"/>
      </w:pPr>
      <w:r>
        <w:t>Zawartość zapisów w operacie wodnoprawnym oraz instrukcji gospodarowania wodą, a także pozostałe załączniki wymagane ustawą Prawo Wodne powinny umożliwić organowi właściwemu do spraw gospodarki wodnej sporządzenie, a następnie wydanie decyzji pozwolenia wodnoprawnego.</w:t>
      </w:r>
    </w:p>
    <w:p w14:paraId="7D519766" w14:textId="77777777" w:rsidR="00A64516" w:rsidRDefault="00823B9F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="Calibri" w:hAnsi="Calibri" w:cs="Calibri"/>
          <w:b/>
        </w:rPr>
      </w:pPr>
      <w:r>
        <w:rPr>
          <w:rFonts w:cs="Calibri"/>
          <w:b/>
        </w:rPr>
        <w:t>Informacje o obiekcie.</w:t>
      </w:r>
    </w:p>
    <w:p w14:paraId="754B3E99" w14:textId="47D47728" w:rsidR="00AA0899" w:rsidRDefault="00AA0899" w:rsidP="00AA0899">
      <w:pPr>
        <w:spacing w:before="120" w:after="207" w:line="268" w:lineRule="auto"/>
        <w:jc w:val="both"/>
        <w:rPr>
          <w:rFonts w:eastAsia="Times New Roman"/>
        </w:rPr>
      </w:pPr>
      <w:r w:rsidRPr="00AA0899">
        <w:rPr>
          <w:rFonts w:eastAsia="Times New Roman"/>
        </w:rPr>
        <w:t>P</w:t>
      </w:r>
      <w:r>
        <w:rPr>
          <w:rFonts w:eastAsia="Times New Roman"/>
        </w:rPr>
        <w:t>ropozycję</w:t>
      </w:r>
      <w:r w:rsidRPr="00AA0899">
        <w:rPr>
          <w:rFonts w:eastAsia="Times New Roman"/>
        </w:rPr>
        <w:t xml:space="preserve"> </w:t>
      </w:r>
      <w:r>
        <w:rPr>
          <w:rFonts w:eastAsia="Times New Roman"/>
        </w:rPr>
        <w:t xml:space="preserve">lokalizacji obiektów wyszczególniono w pkt 1 OPZ. Wykonawca na podstawie prac przedprojektowych określi ostateczną lokalizację planowanych do realizacji obiektów piętrzących.  </w:t>
      </w:r>
    </w:p>
    <w:p w14:paraId="59C4514A" w14:textId="77777777" w:rsidR="00AA0899" w:rsidRPr="00AA0899" w:rsidRDefault="00AA0899" w:rsidP="00AA0899">
      <w:pPr>
        <w:spacing w:before="120" w:after="207" w:line="268" w:lineRule="auto"/>
        <w:jc w:val="both"/>
        <w:rPr>
          <w:rFonts w:eastAsia="Times New Roman"/>
        </w:rPr>
      </w:pPr>
      <w:r w:rsidRPr="00AA0899">
        <w:rPr>
          <w:rFonts w:eastAsia="Times New Roman"/>
        </w:rPr>
        <w:lastRenderedPageBreak/>
        <w:t>Inwestycja znajduje się na obszarach chronionych – duże prawdopodobieństwo konieczności sporządzenia Raportu Oddziaływania na środowisko.</w:t>
      </w:r>
    </w:p>
    <w:p w14:paraId="5B6F666A" w14:textId="77777777" w:rsidR="00AA0899" w:rsidRPr="00AA0899" w:rsidRDefault="00AA0899" w:rsidP="00AA0899">
      <w:pPr>
        <w:spacing w:before="120" w:after="207" w:line="268" w:lineRule="auto"/>
        <w:jc w:val="both"/>
        <w:rPr>
          <w:rFonts w:eastAsia="Times New Roman"/>
        </w:rPr>
      </w:pPr>
      <w:r w:rsidRPr="00AA0899">
        <w:rPr>
          <w:rFonts w:eastAsia="Times New Roman"/>
        </w:rPr>
        <w:t xml:space="preserve">Wysokie prawdopodobieństwo wykonania podziałów działek oraz wyznaczenia linii brzegowej rzeki i </w:t>
      </w:r>
      <w:proofErr w:type="spellStart"/>
      <w:r w:rsidRPr="00AA0899">
        <w:rPr>
          <w:rFonts w:eastAsia="Times New Roman"/>
        </w:rPr>
        <w:t>podpiętrzanych</w:t>
      </w:r>
      <w:proofErr w:type="spellEnd"/>
      <w:r w:rsidRPr="00AA0899">
        <w:rPr>
          <w:rFonts w:eastAsia="Times New Roman"/>
        </w:rPr>
        <w:t xml:space="preserve"> jezior.</w:t>
      </w:r>
    </w:p>
    <w:p w14:paraId="2109D65B" w14:textId="5BB8C4E0" w:rsidR="00AA0899" w:rsidRPr="00AA0899" w:rsidRDefault="00AA0899" w:rsidP="00AA0899">
      <w:pPr>
        <w:spacing w:before="120" w:after="207" w:line="268" w:lineRule="auto"/>
        <w:jc w:val="both"/>
        <w:rPr>
          <w:rFonts w:eastAsia="Times New Roman"/>
        </w:rPr>
      </w:pPr>
      <w:r w:rsidRPr="00AA0899">
        <w:rPr>
          <w:rFonts w:eastAsia="Times New Roman"/>
        </w:rPr>
        <w:t>W przypadku zmiany przepisów w trakcie realizacji przedmiotu zamówienia, zamawiający zastrzega możliwość zmiany zakresu rzeczowego w obszarze uzyskiwania decyzji administracyjnych i pozwoleń</w:t>
      </w:r>
    </w:p>
    <w:p w14:paraId="45064B89" w14:textId="63D0475A" w:rsidR="00A64516" w:rsidRDefault="00823B9F">
      <w:pPr>
        <w:tabs>
          <w:tab w:val="left" w:pos="567"/>
        </w:tabs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3.</w:t>
      </w:r>
      <w:r>
        <w:rPr>
          <w:rFonts w:eastAsia="Times New Roman"/>
          <w:b/>
        </w:rPr>
        <w:tab/>
        <w:t>Warunki Zamawiającego.</w:t>
      </w:r>
    </w:p>
    <w:p w14:paraId="1D8CA6FB" w14:textId="46FADD55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3.1.</w:t>
      </w:r>
      <w:r>
        <w:rPr>
          <w:rFonts w:eastAsia="Times New Roman"/>
        </w:rPr>
        <w:tab/>
        <w:t>Zamawiający zaleca, aby Wykonawca przed przygotowaniem oferty dokonał wizji lokalnej w terenie a także wyjaśnił ewentualne wątpliwości i utrudnienia związane z realizacją zamówienia w celu uniknięcia nieprawidłowego skalkulowania ceny lub pominięcia pewnych elementów niezbędnych do prawidłowego wykonania zamówienia.</w:t>
      </w:r>
    </w:p>
    <w:p w14:paraId="37EEA75A" w14:textId="70BBF9A3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3.2.</w:t>
      </w:r>
      <w:r>
        <w:rPr>
          <w:rFonts w:eastAsia="Times New Roman"/>
        </w:rPr>
        <w:tab/>
        <w:t>Wykonawca zobowiązany jest do kontaktu z Inwestorem w trakcie realizacji zamówienia w celu sukcesywnego przedstawiania oraz sprawozdawczości z postępu prac, a Inwestor jest upoważniony do prowadzenia kontroli prac zgodnie z Umową.</w:t>
      </w:r>
    </w:p>
    <w:p w14:paraId="5996FC10" w14:textId="42FD3195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3.3.</w:t>
      </w:r>
      <w:r>
        <w:rPr>
          <w:rFonts w:eastAsia="Times New Roman"/>
        </w:rPr>
        <w:tab/>
        <w:t>Wykonawca dla potrzeb realizacji zamówienia pozyska niezbędne materiały oraz inne konieczne do prawidłowego wykonania przedmiotu zamówienia.</w:t>
      </w:r>
    </w:p>
    <w:p w14:paraId="1050DFE3" w14:textId="452F874D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3.4.</w:t>
      </w:r>
      <w:r>
        <w:rPr>
          <w:rFonts w:eastAsia="Times New Roman"/>
        </w:rPr>
        <w:tab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09A9B46D" w14:textId="31828C95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3.5.</w:t>
      </w:r>
      <w:r>
        <w:rPr>
          <w:rFonts w:eastAsia="Times New Roman"/>
        </w:rPr>
        <w:tab/>
        <w:t>Jeżeli wystąpi konieczność wykonania opracowań dodatkowych, które będą następstwem wad dokumentacji, błędów lub zaniedbań Wykonawcy, opracowania takie zostaną wykonane przez Wykonawcę bez dodatkowego wynagrodzenia.</w:t>
      </w:r>
    </w:p>
    <w:p w14:paraId="4E7B6C79" w14:textId="64C27DEB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3.6.</w:t>
      </w:r>
      <w:r>
        <w:rPr>
          <w:rFonts w:eastAsia="Times New Roman"/>
        </w:rPr>
        <w:tab/>
        <w:t>Wykonawca będzie zobligowany do uzyskania oraz występowania o wydanie wszelkich niezbędnych uzgodnień, opinii, pozwoleń i decyzji oraz opracowywanie dodatkowej dokumentacji, które będą wymagane w przypadku uzyskania dodatkowych pozwoleń i decyzji.</w:t>
      </w:r>
    </w:p>
    <w:p w14:paraId="6FFD449B" w14:textId="17A611E8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3.7.</w:t>
      </w:r>
      <w:r>
        <w:rPr>
          <w:rFonts w:eastAsia="Times New Roman"/>
        </w:rPr>
        <w:tab/>
        <w:t>Wykonawca zobowiązany jest do przeprowadzenia niezbędnych obliczeń celem dokonania weryfikacji parametrów wszystkich projektowanych elementów wchodzących w skład przedmiotowego zakresu zamówienia oraz ewentualnego dostosowania do stany obecnego.</w:t>
      </w:r>
    </w:p>
    <w:p w14:paraId="623DE8AA" w14:textId="65890F8A" w:rsidR="00A64516" w:rsidRDefault="00823B9F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>3.8.</w:t>
      </w:r>
      <w:r>
        <w:rPr>
          <w:rFonts w:eastAsia="Times New Roman"/>
        </w:rPr>
        <w:tab/>
        <w:t>Autor opracowania zobowiązany jest do usunięcia na koszt własny wad lub braków ujawnionych w trakcie weryfikacji kompletności i zgodności z wymogami obowiązujących przepisów prawa.</w:t>
      </w:r>
    </w:p>
    <w:p w14:paraId="2A30D78C" w14:textId="59B7D9CD" w:rsidR="00BF38E2" w:rsidRDefault="00BF38E2">
      <w:pPr>
        <w:spacing w:before="120" w:after="120"/>
        <w:ind w:left="425" w:hanging="425"/>
        <w:jc w:val="both"/>
        <w:rPr>
          <w:rFonts w:eastAsia="Times New Roman"/>
        </w:rPr>
      </w:pPr>
      <w:r>
        <w:rPr>
          <w:rFonts w:eastAsia="Times New Roman"/>
        </w:rPr>
        <w:t xml:space="preserve">3.9  </w:t>
      </w:r>
      <w:r w:rsidRPr="00BF38E2">
        <w:rPr>
          <w:rFonts w:eastAsia="Times New Roman"/>
        </w:rPr>
        <w:t>Wykonawca zobowiązuje się do pełnienia nieodpłatnego nadzoru autorskiego w trakcie realizacji procesu inwestycyjnego robót objętych powyższym zadaniem. Pobyt projektanta na budowie, związany z nadzorem autorskim odbywać się będzie na pisemne wezwanie Zamawiającego. Z pobytu na budowie projektant zobowiązany będzie sporządzić kartę nadzoru autorskiego. Przewidywana ilość nadzorów to 12 pobytów na budowie w planowanym okresie realizacji. Ponadto Wykonawca zobowiązany jest do pisemnego udzielania odpowiedzi na zapytania dotyczące przedmiotowej dokumentacji zadawane przez Wykonawców biorących udział w postępowaniu przetargowym na realizację zadania w oparciu o tę dokumentację oraz jej zmiany, których konieczność wynikać będzie z zadawanych pytań i udzielanych odpowiedzi w ramach ww. postępowania.</w:t>
      </w:r>
    </w:p>
    <w:p w14:paraId="67A77122" w14:textId="6BCA1072" w:rsidR="00AA0899" w:rsidRPr="00AA0899" w:rsidRDefault="00AA0899" w:rsidP="00AA0899">
      <w:pPr>
        <w:tabs>
          <w:tab w:val="left" w:pos="567"/>
        </w:tabs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4. </w:t>
      </w:r>
      <w:r w:rsidRPr="00AA0899">
        <w:rPr>
          <w:rFonts w:eastAsia="Times New Roman"/>
          <w:b/>
        </w:rPr>
        <w:t>Termin wykonania zamówienia:</w:t>
      </w:r>
    </w:p>
    <w:p w14:paraId="1BDA3586" w14:textId="0AA0C214" w:rsidR="00BF38E2" w:rsidRPr="001F65CA" w:rsidRDefault="00AA0899" w:rsidP="00BF38E2">
      <w:pPr>
        <w:pStyle w:val="Zwykytekst"/>
        <w:spacing w:before="120" w:after="120"/>
        <w:jc w:val="both"/>
        <w:rPr>
          <w:rFonts w:asciiTheme="minorHAnsi" w:hAnsiTheme="minorHAnsi" w:cstheme="minorHAnsi"/>
          <w:szCs w:val="22"/>
        </w:rPr>
      </w:pPr>
      <w:r w:rsidRPr="00AA0899">
        <w:rPr>
          <w:rFonts w:eastAsia="Times New Roman"/>
        </w:rPr>
        <w:t xml:space="preserve">Zamówienie realizowane będzie w całości w terminie do </w:t>
      </w:r>
      <w:r w:rsidR="006276CD">
        <w:rPr>
          <w:rFonts w:eastAsia="Times New Roman"/>
        </w:rPr>
        <w:t>31</w:t>
      </w:r>
      <w:r w:rsidRPr="00AA0899">
        <w:rPr>
          <w:rFonts w:eastAsia="Times New Roman"/>
        </w:rPr>
        <w:t xml:space="preserve"> </w:t>
      </w:r>
      <w:r w:rsidR="006276CD">
        <w:rPr>
          <w:rFonts w:eastAsia="Times New Roman"/>
        </w:rPr>
        <w:t>grudnia</w:t>
      </w:r>
      <w:r w:rsidRPr="00AA0899">
        <w:rPr>
          <w:rFonts w:eastAsia="Times New Roman"/>
        </w:rPr>
        <w:t xml:space="preserve"> 202</w:t>
      </w:r>
      <w:r w:rsidR="006276CD">
        <w:rPr>
          <w:rFonts w:eastAsia="Times New Roman"/>
        </w:rPr>
        <w:t>4</w:t>
      </w:r>
      <w:r w:rsidRPr="00AA0899">
        <w:rPr>
          <w:rFonts w:eastAsia="Times New Roman"/>
        </w:rPr>
        <w:t xml:space="preserve"> r. od dnia następnego po podpisaniu umowy.</w:t>
      </w:r>
      <w:r>
        <w:rPr>
          <w:rFonts w:eastAsia="Times New Roman"/>
        </w:rPr>
        <w:t xml:space="preserve"> </w:t>
      </w:r>
      <w:r w:rsidRPr="00AA0899">
        <w:rPr>
          <w:rFonts w:eastAsia="Times New Roman"/>
        </w:rPr>
        <w:t>Zamawiający przewiduje maksymalnie 6 etapów fakturowania i odbioru</w:t>
      </w:r>
      <w:r w:rsidR="00BF38E2">
        <w:rPr>
          <w:rFonts w:eastAsia="Times New Roman"/>
        </w:rPr>
        <w:t xml:space="preserve">. </w:t>
      </w:r>
      <w:r w:rsidR="00BF38E2" w:rsidRPr="001F65CA">
        <w:rPr>
          <w:rFonts w:asciiTheme="minorHAnsi" w:hAnsiTheme="minorHAnsi" w:cstheme="minorHAnsi"/>
          <w:szCs w:val="22"/>
        </w:rPr>
        <w:t>Termin zakończenia to termin wymagany i nieprzekraczalny, chyba że zaistnieją okoliczności przewidziane w zawartej umowie (projekcie umowy).</w:t>
      </w:r>
    </w:p>
    <w:p w14:paraId="475DE66C" w14:textId="2DAE8968" w:rsidR="00AA0899" w:rsidRDefault="00AA0899" w:rsidP="00AA0899">
      <w:pPr>
        <w:spacing w:before="120" w:after="120"/>
        <w:jc w:val="both"/>
        <w:rPr>
          <w:rFonts w:eastAsia="Times New Roman"/>
        </w:rPr>
      </w:pPr>
    </w:p>
    <w:p w14:paraId="785D913A" w14:textId="77777777" w:rsidR="00AA0899" w:rsidRDefault="00AA0899">
      <w:pPr>
        <w:spacing w:before="120" w:after="120"/>
        <w:ind w:left="425" w:hanging="425"/>
        <w:jc w:val="both"/>
      </w:pPr>
    </w:p>
    <w:sectPr w:rsidR="00AA0899">
      <w:headerReference w:type="default" r:id="rId11"/>
      <w:footerReference w:type="default" r:id="rId12"/>
      <w:headerReference w:type="first" r:id="rId13"/>
      <w:pgSz w:w="11906" w:h="16838"/>
      <w:pgMar w:top="567" w:right="1418" w:bottom="567" w:left="1418" w:header="510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945B" w14:textId="77777777" w:rsidR="001E020F" w:rsidRDefault="00823B9F">
      <w:pPr>
        <w:spacing w:after="0" w:line="240" w:lineRule="auto"/>
      </w:pPr>
      <w:r>
        <w:separator/>
      </w:r>
    </w:p>
  </w:endnote>
  <w:endnote w:type="continuationSeparator" w:id="0">
    <w:p w14:paraId="12138D50" w14:textId="77777777" w:rsidR="001E020F" w:rsidRDefault="008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989363"/>
      <w:docPartObj>
        <w:docPartGallery w:val="Page Numbers (Bottom of Page)"/>
        <w:docPartUnique/>
      </w:docPartObj>
    </w:sdtPr>
    <w:sdtEndPr/>
    <w:sdtContent>
      <w:p w14:paraId="5DDB8AED" w14:textId="77777777" w:rsidR="00A64516" w:rsidRDefault="00823B9F">
        <w:pP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D4782">
          <w:rPr>
            <w:noProof/>
          </w:rPr>
          <w:t>11</w:t>
        </w:r>
        <w:r>
          <w:fldChar w:fldCharType="end"/>
        </w:r>
      </w:p>
    </w:sdtContent>
  </w:sdt>
  <w:p w14:paraId="4A6D9165" w14:textId="77777777" w:rsidR="00A64516" w:rsidRDefault="00A64516">
    <w:pPr>
      <w:tabs>
        <w:tab w:val="center" w:pos="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E141" w14:textId="77777777" w:rsidR="001E020F" w:rsidRDefault="00823B9F">
      <w:pPr>
        <w:spacing w:after="0" w:line="240" w:lineRule="auto"/>
      </w:pPr>
      <w:r>
        <w:separator/>
      </w:r>
    </w:p>
  </w:footnote>
  <w:footnote w:type="continuationSeparator" w:id="0">
    <w:p w14:paraId="229167DE" w14:textId="77777777" w:rsidR="001E020F" w:rsidRDefault="0082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A763" w14:textId="77777777" w:rsidR="00A64516" w:rsidRDefault="00823B9F">
    <w:pPr>
      <w:pStyle w:val="Nagwek"/>
    </w:pPr>
    <w:r>
      <w:t>[Wpisz tekst]</w:t>
    </w:r>
  </w:p>
  <w:p w14:paraId="798C8669" w14:textId="77777777" w:rsidR="00A64516" w:rsidRDefault="00A64516">
    <w:pPr>
      <w:spacing w:line="240" w:lineRule="atLeast"/>
      <w:jc w:val="center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90D7" w14:textId="77777777" w:rsidR="00A64516" w:rsidRDefault="00823B9F">
    <w:pPr>
      <w:pStyle w:val="Nagwek"/>
      <w:jc w:val="right"/>
    </w:pPr>
    <w:r>
      <w:t>Zał. nr     do SWZ</w:t>
    </w:r>
  </w:p>
  <w:p w14:paraId="09893A89" w14:textId="77777777" w:rsidR="00A64516" w:rsidRDefault="00A645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BED"/>
    <w:multiLevelType w:val="multilevel"/>
    <w:tmpl w:val="7C8ED9BC"/>
    <w:lvl w:ilvl="0">
      <w:start w:val="1"/>
      <w:numFmt w:val="lowerLetter"/>
      <w:lvlText w:val="%1)"/>
      <w:lvlJc w:val="left"/>
      <w:pPr>
        <w:ind w:left="501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4912"/>
    <w:multiLevelType w:val="multilevel"/>
    <w:tmpl w:val="E1A2C6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6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623"/>
    <w:multiLevelType w:val="multilevel"/>
    <w:tmpl w:val="A296CC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01BBA"/>
    <w:multiLevelType w:val="multilevel"/>
    <w:tmpl w:val="E0CA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6E44E19"/>
    <w:multiLevelType w:val="multilevel"/>
    <w:tmpl w:val="C5BEA01E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B17742E"/>
    <w:multiLevelType w:val="multilevel"/>
    <w:tmpl w:val="CC4280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7B76A4"/>
    <w:multiLevelType w:val="multilevel"/>
    <w:tmpl w:val="9DF445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1F6C24"/>
    <w:multiLevelType w:val="hybridMultilevel"/>
    <w:tmpl w:val="5910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22D6"/>
    <w:multiLevelType w:val="multilevel"/>
    <w:tmpl w:val="641851D2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26216B"/>
    <w:multiLevelType w:val="multilevel"/>
    <w:tmpl w:val="A1360E06"/>
    <w:lvl w:ilvl="0">
      <w:start w:val="1"/>
      <w:numFmt w:val="lowerLetter"/>
      <w:lvlText w:val="%1)"/>
      <w:lvlJc w:val="left"/>
      <w:pPr>
        <w:ind w:left="1589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309" w:hanging="360"/>
      </w:pPr>
    </w:lvl>
    <w:lvl w:ilvl="2">
      <w:start w:val="1"/>
      <w:numFmt w:val="lowerRoman"/>
      <w:lvlText w:val="%3."/>
      <w:lvlJc w:val="right"/>
      <w:pPr>
        <w:ind w:left="3029" w:hanging="180"/>
      </w:pPr>
    </w:lvl>
    <w:lvl w:ilvl="3">
      <w:start w:val="1"/>
      <w:numFmt w:val="decimal"/>
      <w:lvlText w:val="%4."/>
      <w:lvlJc w:val="left"/>
      <w:pPr>
        <w:ind w:left="3749" w:hanging="360"/>
      </w:pPr>
    </w:lvl>
    <w:lvl w:ilvl="4">
      <w:start w:val="1"/>
      <w:numFmt w:val="lowerLetter"/>
      <w:lvlText w:val="%5."/>
      <w:lvlJc w:val="left"/>
      <w:pPr>
        <w:ind w:left="4469" w:hanging="360"/>
      </w:pPr>
    </w:lvl>
    <w:lvl w:ilvl="5">
      <w:start w:val="1"/>
      <w:numFmt w:val="lowerRoman"/>
      <w:lvlText w:val="%6."/>
      <w:lvlJc w:val="right"/>
      <w:pPr>
        <w:ind w:left="5189" w:hanging="180"/>
      </w:pPr>
    </w:lvl>
    <w:lvl w:ilvl="6">
      <w:start w:val="1"/>
      <w:numFmt w:val="decimal"/>
      <w:lvlText w:val="%7."/>
      <w:lvlJc w:val="left"/>
      <w:pPr>
        <w:ind w:left="5909" w:hanging="360"/>
      </w:pPr>
    </w:lvl>
    <w:lvl w:ilvl="7">
      <w:start w:val="1"/>
      <w:numFmt w:val="lowerLetter"/>
      <w:lvlText w:val="%8."/>
      <w:lvlJc w:val="left"/>
      <w:pPr>
        <w:ind w:left="6629" w:hanging="360"/>
      </w:pPr>
    </w:lvl>
    <w:lvl w:ilvl="8">
      <w:start w:val="1"/>
      <w:numFmt w:val="lowerRoman"/>
      <w:lvlText w:val="%9."/>
      <w:lvlJc w:val="right"/>
      <w:pPr>
        <w:ind w:left="7349" w:hanging="180"/>
      </w:pPr>
    </w:lvl>
  </w:abstractNum>
  <w:abstractNum w:abstractNumId="10" w15:restartNumberingAfterBreak="0">
    <w:nsid w:val="279A6E20"/>
    <w:multiLevelType w:val="multilevel"/>
    <w:tmpl w:val="2CBC785A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6333"/>
    <w:multiLevelType w:val="multilevel"/>
    <w:tmpl w:val="E1D8AFF2"/>
    <w:lvl w:ilvl="0">
      <w:start w:val="1"/>
      <w:numFmt w:val="bullet"/>
      <w:lvlText w:val=""/>
      <w:lvlJc w:val="left"/>
      <w:pPr>
        <w:ind w:left="15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B4D30"/>
    <w:multiLevelType w:val="multilevel"/>
    <w:tmpl w:val="01080618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29246F9"/>
    <w:multiLevelType w:val="multilevel"/>
    <w:tmpl w:val="E55A514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E3D57"/>
    <w:multiLevelType w:val="multilevel"/>
    <w:tmpl w:val="084E09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14A17"/>
    <w:multiLevelType w:val="multilevel"/>
    <w:tmpl w:val="3C665D58"/>
    <w:lvl w:ilvl="0">
      <w:start w:val="1"/>
      <w:numFmt w:val="lowerLetter"/>
      <w:lvlText w:val="%1)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4C1D4860"/>
    <w:multiLevelType w:val="hybridMultilevel"/>
    <w:tmpl w:val="A838FBCE"/>
    <w:lvl w:ilvl="0" w:tplc="B8588F5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5270A"/>
    <w:multiLevelType w:val="multilevel"/>
    <w:tmpl w:val="B7FCB99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96A"/>
    <w:multiLevelType w:val="multilevel"/>
    <w:tmpl w:val="AE4C1342"/>
    <w:lvl w:ilvl="0">
      <w:start w:val="1"/>
      <w:numFmt w:val="decimal"/>
      <w:lvlText w:val="%1."/>
      <w:lvlJc w:val="left"/>
      <w:pPr>
        <w:ind w:left="8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267F0"/>
    <w:multiLevelType w:val="multilevel"/>
    <w:tmpl w:val="706681DC"/>
    <w:lvl w:ilvl="0">
      <w:start w:val="1"/>
      <w:numFmt w:val="lowerLetter"/>
      <w:lvlText w:val="%1)"/>
      <w:lvlJc w:val="left"/>
      <w:pPr>
        <w:ind w:left="5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869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253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8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30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02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4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576E6F97"/>
    <w:multiLevelType w:val="multilevel"/>
    <w:tmpl w:val="6456C8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C0A34BE"/>
    <w:multiLevelType w:val="multilevel"/>
    <w:tmpl w:val="2946C7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164AA5"/>
    <w:multiLevelType w:val="multilevel"/>
    <w:tmpl w:val="DAF21D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2877"/>
    <w:multiLevelType w:val="multilevel"/>
    <w:tmpl w:val="17D2441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4C606A"/>
    <w:multiLevelType w:val="multilevel"/>
    <w:tmpl w:val="FE8C0E9C"/>
    <w:lvl w:ilvl="0">
      <w:start w:val="1"/>
      <w:numFmt w:val="decimal"/>
      <w:lvlText w:val="%1)"/>
      <w:lvlJc w:val="left"/>
      <w:pPr>
        <w:ind w:left="1588" w:hanging="360"/>
      </w:pPr>
    </w:lvl>
    <w:lvl w:ilvl="1">
      <w:start w:val="1"/>
      <w:numFmt w:val="lowerLetter"/>
      <w:lvlText w:val="%2."/>
      <w:lvlJc w:val="left"/>
      <w:pPr>
        <w:ind w:left="2308" w:hanging="360"/>
      </w:pPr>
    </w:lvl>
    <w:lvl w:ilvl="2">
      <w:start w:val="1"/>
      <w:numFmt w:val="lowerRoman"/>
      <w:lvlText w:val="%3."/>
      <w:lvlJc w:val="right"/>
      <w:pPr>
        <w:ind w:left="3028" w:hanging="180"/>
      </w:pPr>
    </w:lvl>
    <w:lvl w:ilvl="3">
      <w:start w:val="1"/>
      <w:numFmt w:val="decimal"/>
      <w:lvlText w:val="%4."/>
      <w:lvlJc w:val="left"/>
      <w:pPr>
        <w:ind w:left="3748" w:hanging="360"/>
      </w:pPr>
    </w:lvl>
    <w:lvl w:ilvl="4">
      <w:start w:val="1"/>
      <w:numFmt w:val="lowerLetter"/>
      <w:lvlText w:val="%5."/>
      <w:lvlJc w:val="left"/>
      <w:pPr>
        <w:ind w:left="4468" w:hanging="360"/>
      </w:pPr>
    </w:lvl>
    <w:lvl w:ilvl="5">
      <w:start w:val="1"/>
      <w:numFmt w:val="lowerRoman"/>
      <w:lvlText w:val="%6."/>
      <w:lvlJc w:val="right"/>
      <w:pPr>
        <w:ind w:left="5188" w:hanging="180"/>
      </w:pPr>
    </w:lvl>
    <w:lvl w:ilvl="6">
      <w:start w:val="1"/>
      <w:numFmt w:val="decimal"/>
      <w:lvlText w:val="%7."/>
      <w:lvlJc w:val="left"/>
      <w:pPr>
        <w:ind w:left="5908" w:hanging="360"/>
      </w:pPr>
    </w:lvl>
    <w:lvl w:ilvl="7">
      <w:start w:val="1"/>
      <w:numFmt w:val="lowerLetter"/>
      <w:lvlText w:val="%8."/>
      <w:lvlJc w:val="left"/>
      <w:pPr>
        <w:ind w:left="6628" w:hanging="360"/>
      </w:pPr>
    </w:lvl>
    <w:lvl w:ilvl="8">
      <w:start w:val="1"/>
      <w:numFmt w:val="lowerRoman"/>
      <w:lvlText w:val="%9."/>
      <w:lvlJc w:val="right"/>
      <w:pPr>
        <w:ind w:left="7348" w:hanging="180"/>
      </w:pPr>
    </w:lvl>
  </w:abstractNum>
  <w:abstractNum w:abstractNumId="25" w15:restartNumberingAfterBreak="0">
    <w:nsid w:val="6EC6709D"/>
    <w:multiLevelType w:val="multilevel"/>
    <w:tmpl w:val="E94A6354"/>
    <w:lvl w:ilvl="0">
      <w:start w:val="1"/>
      <w:numFmt w:val="decimal"/>
      <w:lvlText w:val="%1."/>
      <w:lvlJc w:val="left"/>
      <w:pPr>
        <w:ind w:left="87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244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734C6E75"/>
    <w:multiLevelType w:val="hybridMultilevel"/>
    <w:tmpl w:val="D6BCAB1C"/>
    <w:lvl w:ilvl="0" w:tplc="E15ABF9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F6251"/>
    <w:multiLevelType w:val="multilevel"/>
    <w:tmpl w:val="1A4EAC7C"/>
    <w:lvl w:ilvl="0">
      <w:start w:val="1"/>
      <w:numFmt w:val="bullet"/>
      <w:lvlText w:val="•"/>
      <w:lvlJc w:val="left"/>
      <w:pPr>
        <w:ind w:left="53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5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8" w15:restartNumberingAfterBreak="0">
    <w:nsid w:val="7BFF41B2"/>
    <w:multiLevelType w:val="multilevel"/>
    <w:tmpl w:val="1F00B66C"/>
    <w:lvl w:ilvl="0">
      <w:start w:val="1"/>
      <w:numFmt w:val="decimal"/>
      <w:lvlText w:val="%1."/>
      <w:lvlJc w:val="left"/>
      <w:pPr>
        <w:ind w:left="5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2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9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6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41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13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85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57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296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7CD41DF4"/>
    <w:multiLevelType w:val="hybridMultilevel"/>
    <w:tmpl w:val="04C2EB98"/>
    <w:lvl w:ilvl="0" w:tplc="2E44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DC084F"/>
    <w:multiLevelType w:val="multilevel"/>
    <w:tmpl w:val="CF48B0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5749537">
    <w:abstractNumId w:val="3"/>
  </w:num>
  <w:num w:numId="2" w16cid:durableId="605774877">
    <w:abstractNumId w:val="4"/>
  </w:num>
  <w:num w:numId="3" w16cid:durableId="2093625653">
    <w:abstractNumId w:val="0"/>
  </w:num>
  <w:num w:numId="4" w16cid:durableId="1620599267">
    <w:abstractNumId w:val="14"/>
  </w:num>
  <w:num w:numId="5" w16cid:durableId="1525434584">
    <w:abstractNumId w:val="21"/>
  </w:num>
  <w:num w:numId="6" w16cid:durableId="546142455">
    <w:abstractNumId w:val="23"/>
  </w:num>
  <w:num w:numId="7" w16cid:durableId="546994826">
    <w:abstractNumId w:val="15"/>
  </w:num>
  <w:num w:numId="8" w16cid:durableId="1633243991">
    <w:abstractNumId w:val="12"/>
  </w:num>
  <w:num w:numId="9" w16cid:durableId="1068189832">
    <w:abstractNumId w:val="2"/>
  </w:num>
  <w:num w:numId="10" w16cid:durableId="1764951586">
    <w:abstractNumId w:val="5"/>
  </w:num>
  <w:num w:numId="11" w16cid:durableId="1983386443">
    <w:abstractNumId w:val="30"/>
  </w:num>
  <w:num w:numId="12" w16cid:durableId="599413832">
    <w:abstractNumId w:val="22"/>
  </w:num>
  <w:num w:numId="13" w16cid:durableId="1055085164">
    <w:abstractNumId w:val="1"/>
  </w:num>
  <w:num w:numId="14" w16cid:durableId="522010914">
    <w:abstractNumId w:val="19"/>
  </w:num>
  <w:num w:numId="15" w16cid:durableId="424963473">
    <w:abstractNumId w:val="8"/>
  </w:num>
  <w:num w:numId="16" w16cid:durableId="1336032893">
    <w:abstractNumId w:val="6"/>
  </w:num>
  <w:num w:numId="17" w16cid:durableId="908228546">
    <w:abstractNumId w:val="17"/>
  </w:num>
  <w:num w:numId="18" w16cid:durableId="1785155084">
    <w:abstractNumId w:val="9"/>
  </w:num>
  <w:num w:numId="19" w16cid:durableId="1301379876">
    <w:abstractNumId w:val="11"/>
  </w:num>
  <w:num w:numId="20" w16cid:durableId="111242121">
    <w:abstractNumId w:val="13"/>
  </w:num>
  <w:num w:numId="21" w16cid:durableId="1464080213">
    <w:abstractNumId w:val="24"/>
  </w:num>
  <w:num w:numId="22" w16cid:durableId="404885218">
    <w:abstractNumId w:val="25"/>
  </w:num>
  <w:num w:numId="23" w16cid:durableId="1596985490">
    <w:abstractNumId w:val="28"/>
  </w:num>
  <w:num w:numId="24" w16cid:durableId="744571687">
    <w:abstractNumId w:val="27"/>
  </w:num>
  <w:num w:numId="25" w16cid:durableId="1105689428">
    <w:abstractNumId w:val="18"/>
  </w:num>
  <w:num w:numId="26" w16cid:durableId="1681930617">
    <w:abstractNumId w:val="10"/>
  </w:num>
  <w:num w:numId="27" w16cid:durableId="1536887782">
    <w:abstractNumId w:val="20"/>
  </w:num>
  <w:num w:numId="28" w16cid:durableId="86124286">
    <w:abstractNumId w:val="26"/>
  </w:num>
  <w:num w:numId="29" w16cid:durableId="1625843383">
    <w:abstractNumId w:val="7"/>
  </w:num>
  <w:num w:numId="30" w16cid:durableId="338236145">
    <w:abstractNumId w:val="29"/>
  </w:num>
  <w:num w:numId="31" w16cid:durableId="19566731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16"/>
    <w:rsid w:val="000141B4"/>
    <w:rsid w:val="00087718"/>
    <w:rsid w:val="001E020F"/>
    <w:rsid w:val="002F42A4"/>
    <w:rsid w:val="004F540B"/>
    <w:rsid w:val="006276CD"/>
    <w:rsid w:val="0066070F"/>
    <w:rsid w:val="007859B3"/>
    <w:rsid w:val="007D4782"/>
    <w:rsid w:val="00823B9F"/>
    <w:rsid w:val="00885EE1"/>
    <w:rsid w:val="009E03AB"/>
    <w:rsid w:val="00A64516"/>
    <w:rsid w:val="00AA0899"/>
    <w:rsid w:val="00BF38E2"/>
    <w:rsid w:val="00F33002"/>
    <w:rsid w:val="14CDE892"/>
    <w:rsid w:val="1F1DE26D"/>
    <w:rsid w:val="26E33458"/>
    <w:rsid w:val="3992DE30"/>
    <w:rsid w:val="424F9E68"/>
    <w:rsid w:val="5D149B2B"/>
    <w:rsid w:val="66D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FF1E"/>
  <w15:docId w15:val="{B2D38C4A-47AA-4F35-972E-2223017E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3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4A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235"/>
  </w:style>
  <w:style w:type="character" w:customStyle="1" w:styleId="StopkaZnak">
    <w:name w:val="Stopka Znak"/>
    <w:basedOn w:val="Domylnaczcionkaakapitu"/>
    <w:link w:val="Stopka"/>
    <w:uiPriority w:val="99"/>
    <w:qFormat/>
    <w:rsid w:val="00400235"/>
  </w:style>
  <w:style w:type="character" w:customStyle="1" w:styleId="czeinternetowe">
    <w:name w:val="Łącze internetowe"/>
    <w:basedOn w:val="Domylnaczcionkaakapitu"/>
    <w:uiPriority w:val="99"/>
    <w:unhideWhenUsed/>
    <w:rsid w:val="00400235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00235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4">
    <w:name w:val="ListLabel 7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5">
    <w:name w:val="ListLabel 75"/>
    <w:qFormat/>
    <w:rPr>
      <w:rFonts w:ascii="Calibri" w:eastAsia="Arial" w:hAnsi="Calibri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6">
    <w:name w:val="ListLabel 7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7">
    <w:name w:val="ListLabel 7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8">
    <w:name w:val="ListLabel 7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9">
    <w:name w:val="ListLabel 7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0">
    <w:name w:val="ListLabel 8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1">
    <w:name w:val="ListLabel 8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2">
    <w:name w:val="ListLabel 8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3">
    <w:name w:val="ListLabel 8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4">
    <w:name w:val="ListLabel 84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5">
    <w:name w:val="ListLabel 85"/>
    <w:qFormat/>
    <w:rPr>
      <w:b/>
      <w:u w:val="none"/>
    </w:rPr>
  </w:style>
  <w:style w:type="character" w:customStyle="1" w:styleId="ListLabel86">
    <w:name w:val="ListLabel 86"/>
    <w:qFormat/>
    <w:rPr>
      <w:rFonts w:eastAsiaTheme="minorHAnsi"/>
      <w:lang w:eastAsia="en-US"/>
    </w:rPr>
  </w:style>
  <w:style w:type="character" w:customStyle="1" w:styleId="ListLabel87">
    <w:name w:val="ListLabel 87"/>
    <w:qFormat/>
    <w:rPr>
      <w:rFonts w:ascii="Calibri" w:eastAsia="Calibri" w:hAnsi="Calibri" w:cs="Calibri"/>
      <w:color w:val="0563C1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0023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4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5E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023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002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6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607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70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klimat/katalog-dobrych-praktyk-w-zakresie-robot-hydrotechniczn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zory-wniosk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BBF1-710D-4A42-96CB-C163AC94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Mariusz Krzemiński (RZGW Poznań)</cp:lastModifiedBy>
  <cp:revision>12</cp:revision>
  <cp:lastPrinted>2022-04-14T11:06:00Z</cp:lastPrinted>
  <dcterms:created xsi:type="dcterms:W3CDTF">2022-05-18T05:57:00Z</dcterms:created>
  <dcterms:modified xsi:type="dcterms:W3CDTF">2022-08-18T06:43:00Z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