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3F70F571" w:rsidR="00BA5056" w:rsidRPr="000D46B0" w:rsidRDefault="002754F2" w:rsidP="002754F2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0D46B0">
        <w:rPr>
          <w:b/>
          <w:bCs/>
          <w:sz w:val="24"/>
          <w:szCs w:val="24"/>
        </w:rPr>
        <w:t xml:space="preserve">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6C5416A7" w14:textId="634E77D3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8A4269">
        <w:rPr>
          <w:rFonts w:cs="Calibri"/>
          <w:b/>
          <w:bCs/>
          <w:color w:val="000000"/>
          <w:sz w:val="24"/>
          <w:szCs w:val="24"/>
        </w:rPr>
        <w:t>323.2022.ZZ.4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5D43E194" w14:textId="719D2A04" w:rsidR="00AB0BF3" w:rsidRPr="0092437D" w:rsidRDefault="0092437D" w:rsidP="0092437D">
      <w:pPr>
        <w:pStyle w:val="Zawartotabeli"/>
        <w:spacing w:after="0" w:line="240" w:lineRule="auto"/>
        <w:jc w:val="center"/>
        <w:rPr>
          <w:b/>
          <w:bCs/>
        </w:rPr>
      </w:pPr>
      <w:r w:rsidRPr="0092437D">
        <w:rPr>
          <w:b/>
          <w:bCs/>
        </w:rPr>
        <w:t>„Naprawa urządzeń energetycznych w pompowniach Międzyłęż i Opalenie”</w:t>
      </w:r>
    </w:p>
    <w:p w14:paraId="01DEFFB4" w14:textId="77777777" w:rsidR="0092437D" w:rsidRDefault="0092437D" w:rsidP="00BE6049">
      <w:pPr>
        <w:pStyle w:val="Zawartotabeli"/>
        <w:spacing w:after="0" w:line="240" w:lineRule="auto"/>
        <w:jc w:val="center"/>
        <w:rPr>
          <w:b/>
          <w:sz w:val="28"/>
          <w:szCs w:val="28"/>
        </w:rPr>
      </w:pPr>
    </w:p>
    <w:p w14:paraId="0CA33869" w14:textId="3561BEBC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/-am</w:t>
      </w:r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-am</w:t>
      </w:r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AA46" w14:textId="77777777" w:rsidR="0075291B" w:rsidRDefault="0075291B" w:rsidP="00BA6736">
      <w:r>
        <w:separator/>
      </w:r>
    </w:p>
  </w:endnote>
  <w:endnote w:type="continuationSeparator" w:id="0">
    <w:p w14:paraId="70924C1B" w14:textId="77777777" w:rsidR="0075291B" w:rsidRDefault="0075291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37D7E1F3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CFE0" w14:textId="77777777" w:rsidR="0075291B" w:rsidRDefault="0075291B" w:rsidP="00BA6736">
      <w:r>
        <w:separator/>
      </w:r>
    </w:p>
  </w:footnote>
  <w:footnote w:type="continuationSeparator" w:id="0">
    <w:p w14:paraId="693AB5E9" w14:textId="77777777" w:rsidR="0075291B" w:rsidRDefault="0075291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35pt;height:19.3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31A0"/>
    <w:rsid w:val="002754F2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049B3"/>
    <w:rsid w:val="00316727"/>
    <w:rsid w:val="003260A2"/>
    <w:rsid w:val="00330F37"/>
    <w:rsid w:val="00343710"/>
    <w:rsid w:val="00353765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1188D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291B"/>
    <w:rsid w:val="007544F3"/>
    <w:rsid w:val="00761473"/>
    <w:rsid w:val="00776FE4"/>
    <w:rsid w:val="0077763A"/>
    <w:rsid w:val="00782C00"/>
    <w:rsid w:val="007853E9"/>
    <w:rsid w:val="0079046A"/>
    <w:rsid w:val="00790F90"/>
    <w:rsid w:val="00792F5E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A4269"/>
    <w:rsid w:val="008B06A7"/>
    <w:rsid w:val="008B210F"/>
    <w:rsid w:val="008D2114"/>
    <w:rsid w:val="008D32A5"/>
    <w:rsid w:val="008D73AD"/>
    <w:rsid w:val="008E045A"/>
    <w:rsid w:val="008E59AA"/>
    <w:rsid w:val="008F236E"/>
    <w:rsid w:val="008F6B92"/>
    <w:rsid w:val="00911F10"/>
    <w:rsid w:val="00924179"/>
    <w:rsid w:val="0092437D"/>
    <w:rsid w:val="009601D4"/>
    <w:rsid w:val="0097002A"/>
    <w:rsid w:val="009752AC"/>
    <w:rsid w:val="009A0849"/>
    <w:rsid w:val="009A70B1"/>
    <w:rsid w:val="009A70D4"/>
    <w:rsid w:val="009A7FC5"/>
    <w:rsid w:val="009B3BF0"/>
    <w:rsid w:val="009D70BE"/>
    <w:rsid w:val="009F21CD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0BF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D5CA6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1FB7"/>
    <w:rsid w:val="00C83A41"/>
    <w:rsid w:val="00C94899"/>
    <w:rsid w:val="00CA1A14"/>
    <w:rsid w:val="00CA7D19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-ZZTCZ01\nw_tczew\Utrzymanie%20i%20Eksploatacja\2022\!!!!Przetargi%202022%20r.!!!!\Dielektryka\po%20zmianach\GD.ROZ.2811.68.2022.ZZ.4\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Mateusz Wróblewski (RZGW Gdańsk)</cp:lastModifiedBy>
  <cp:revision>8</cp:revision>
  <cp:lastPrinted>2020-09-24T11:55:00Z</cp:lastPrinted>
  <dcterms:created xsi:type="dcterms:W3CDTF">2022-04-13T10:50:00Z</dcterms:created>
  <dcterms:modified xsi:type="dcterms:W3CDTF">2022-11-24T12:23:00Z</dcterms:modified>
</cp:coreProperties>
</file>